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6F" w:rsidRDefault="003D2A6F" w:rsidP="003D2A6F">
      <w:pPr>
        <w:pStyle w:val="Standard"/>
        <w:spacing w:before="54" w:after="5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69"/>
        <w:gridCol w:w="7050"/>
        <w:gridCol w:w="990"/>
      </w:tblGrid>
      <w:tr w:rsidR="00306796" w:rsidTr="00C30109">
        <w:trPr>
          <w:jc w:val="center"/>
        </w:trPr>
        <w:tc>
          <w:tcPr>
            <w:tcW w:w="1010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C30109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（七）直通樓梯</w:t>
            </w:r>
            <w:r w:rsidR="00EB2EFD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EB2EFD" w:rsidRPr="00EB2EFD">
              <w:rPr>
                <w:rFonts w:ascii="標楷體" w:eastAsia="標楷體" w:hAnsi="標楷體" w:cs="標楷體"/>
                <w:color w:val="000000"/>
              </w:rPr>
              <w:t>改為安全梯或特別安全梯限制</w:t>
            </w:r>
          </w:p>
        </w:tc>
      </w:tr>
      <w:tr w:rsidR="00306796" w:rsidTr="00C30109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EB2EFD" w:rsidTr="0043325E">
        <w:trPr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EFD" w:rsidRDefault="00EB2EFD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EFD" w:rsidRDefault="00EB2EFD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2EFD" w:rsidRDefault="00EB2EFD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</w:tbl>
    <w:p w:rsidR="00306796" w:rsidRDefault="00306796">
      <w:pPr>
        <w:pStyle w:val="Standard"/>
        <w:spacing w:line="20" w:lineRule="exact"/>
        <w:rPr>
          <w:color w:val="000000"/>
        </w:rPr>
      </w:pPr>
    </w:p>
    <w:tbl>
      <w:tblPr>
        <w:tblW w:w="100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7201"/>
        <w:gridCol w:w="890"/>
      </w:tblGrid>
      <w:tr w:rsidR="00574919" w:rsidTr="00552E6B">
        <w:trPr>
          <w:jc w:val="center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4919" w:rsidRDefault="00574919" w:rsidP="00574919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4919" w:rsidRDefault="00574919">
            <w:pPr>
              <w:pStyle w:val="Standard"/>
              <w:spacing w:before="72" w:line="220" w:lineRule="exact"/>
              <w:ind w:left="276" w:hanging="276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下列建築物依規定應設置之直通樓梯，其構造應改為室內或室外之安全梯或特別安全梯：</w:t>
            </w:r>
          </w:p>
          <w:p w:rsidR="00574919" w:rsidRDefault="00574919">
            <w:pPr>
              <w:pStyle w:val="Standard"/>
              <w:widowControl/>
              <w:spacing w:line="220" w:lineRule="exact"/>
              <w:ind w:left="928" w:hanging="674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）通達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6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層以上，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14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層以下或通達地下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層之各樓層，應設置安全梯；通達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15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層以上或地下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層以下之各樓層，應設置戶外安全梯或特別安全梯。但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15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層以上或地下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層以下各樓層之樓地板面積未超過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者，戶外安全梯或特別安全梯改設為室內安全梯。</w:t>
            </w:r>
          </w:p>
          <w:p w:rsidR="00574919" w:rsidRDefault="00574919">
            <w:pPr>
              <w:pStyle w:val="Standard"/>
              <w:widowControl/>
              <w:spacing w:line="220" w:lineRule="exact"/>
              <w:ind w:left="928" w:hanging="674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）通達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4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層以下供作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、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B-1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及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B-2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類組使用之樓層，應設置安全梯，其中應至少一座為戶外安全梯或特別安全梯。</w:t>
            </w:r>
          </w:p>
          <w:p w:rsidR="00574919" w:rsidRDefault="00574919" w:rsidP="00913D9D">
            <w:pPr>
              <w:pStyle w:val="Standard"/>
              <w:spacing w:after="108" w:line="220" w:lineRule="exact"/>
              <w:ind w:left="928" w:hanging="674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）通達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層以上供作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、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B-1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及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B-2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類組使用之樓層之直通樓梯，應為戶外安全梯或特別安全梯，並應通達屋頂避難平</w:t>
            </w:r>
            <w:proofErr w:type="gramStart"/>
            <w:r>
              <w:rPr>
                <w:rFonts w:eastAsia="標楷體" w:cs="Arial"/>
                <w:color w:val="000000"/>
                <w:spacing w:val="-8"/>
                <w:sz w:val="20"/>
              </w:rPr>
              <w:t>臺</w:t>
            </w:r>
            <w:proofErr w:type="gramEnd"/>
            <w:r>
              <w:rPr>
                <w:rFonts w:eastAsia="標楷體" w:cs="Arial"/>
                <w:color w:val="000000"/>
                <w:spacing w:val="-8"/>
                <w:sz w:val="20"/>
              </w:rPr>
              <w:t>。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4919" w:rsidRDefault="00574919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bookmarkStart w:id="0" w:name="_GoBack"/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AA07F4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AA07F4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AA07F4">
              <w:rPr>
                <w:rFonts w:ascii="標楷體" w:eastAsia="標楷體" w:hAnsi="標楷體" w:hint="eastAsia"/>
                <w:b/>
                <w:color w:val="FF0000"/>
                <w:sz w:val="14"/>
              </w:rPr>
              <w:t>103</w:t>
            </w: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AA07F4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bookmarkEnd w:id="0"/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574919" w:rsidRDefault="00574919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AA07F4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AA07F4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AA07F4">
              <w:rPr>
                <w:rFonts w:ascii="標楷體" w:eastAsia="標楷體" w:hAnsi="標楷體" w:hint="eastAsia"/>
                <w:b/>
                <w:color w:val="FF0000"/>
                <w:sz w:val="14"/>
              </w:rPr>
              <w:t>103</w:t>
            </w: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AA07F4" w:rsidRPr="00AA07F4">
              <w:rPr>
                <w:rFonts w:ascii="標楷體" w:eastAsia="標楷體" w:hAnsi="標楷體" w:hint="eastAsia"/>
                <w:b/>
                <w:color w:val="FF0000"/>
                <w:sz w:val="14"/>
              </w:rPr>
              <w:t>7</w:t>
            </w: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574919" w:rsidRDefault="00574919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AA07F4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AA07F4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AA07F4">
              <w:rPr>
                <w:rFonts w:ascii="標楷體" w:eastAsia="標楷體" w:hAnsi="標楷體" w:hint="eastAsia"/>
                <w:b/>
                <w:color w:val="FF0000"/>
                <w:sz w:val="14"/>
              </w:rPr>
              <w:t>103</w:t>
            </w: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AA07F4" w:rsidRPr="00AA07F4">
              <w:rPr>
                <w:rFonts w:ascii="標楷體" w:eastAsia="標楷體" w:hAnsi="標楷體" w:hint="eastAsia"/>
                <w:b/>
                <w:color w:val="FF0000"/>
                <w:sz w:val="14"/>
              </w:rPr>
              <w:t>8</w:t>
            </w: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574919" w:rsidRDefault="00574919" w:rsidP="00F5303B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AA07F4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AA07F4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AA07F4">
              <w:rPr>
                <w:rFonts w:ascii="標楷體" w:eastAsia="標楷體" w:hAnsi="標楷體" w:hint="eastAsia"/>
                <w:b/>
                <w:color w:val="FF0000"/>
                <w:sz w:val="14"/>
              </w:rPr>
              <w:t>103</w:t>
            </w: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AA07F4" w:rsidRPr="00AA07F4">
              <w:rPr>
                <w:rFonts w:ascii="標楷體" w:eastAsia="標楷體" w:hAnsi="標楷體" w:hint="eastAsia"/>
                <w:b/>
                <w:color w:val="FF0000"/>
                <w:sz w:val="14"/>
              </w:rPr>
              <w:t>9</w:t>
            </w:r>
            <w:r w:rsidRPr="00AA07F4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574919" w:rsidTr="00D605CB">
        <w:trPr>
          <w:jc w:val="center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4919" w:rsidRDefault="00574919" w:rsidP="00574919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「☆」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4919" w:rsidRDefault="00574919">
            <w:pPr>
              <w:pStyle w:val="Standard"/>
              <w:spacing w:before="72" w:line="220" w:lineRule="exact"/>
              <w:ind w:left="276" w:hanging="276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940701~1000630</w:t>
            </w:r>
          </w:p>
          <w:p w:rsidR="00574919" w:rsidRDefault="00574919">
            <w:pPr>
              <w:pStyle w:val="Standard"/>
              <w:spacing w:before="72" w:line="220" w:lineRule="exact"/>
              <w:ind w:left="276" w:hanging="276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下列建築物依規定應設置之直通樓梯，其構造應改為室內或室外之安全梯或特別安全梯：</w:t>
            </w:r>
          </w:p>
          <w:p w:rsidR="00574919" w:rsidRDefault="00574919">
            <w:pPr>
              <w:pStyle w:val="Standard"/>
              <w:widowControl/>
              <w:spacing w:line="220" w:lineRule="exact"/>
              <w:ind w:left="928" w:hanging="674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）通達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6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層以上，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14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層以下或通達地下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層之各樓層，應設置安全梯；通達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15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層以上或地下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層以下之各樓層，應設置戶外安全梯或特別安全梯。但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15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層以上或地下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層以下各樓層之樓地板面積未超過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者，戶外安全梯或特別安全梯改設為一般安全梯。</w:t>
            </w:r>
          </w:p>
          <w:p w:rsidR="00574919" w:rsidRDefault="00574919">
            <w:pPr>
              <w:pStyle w:val="Standard"/>
              <w:widowControl/>
              <w:spacing w:line="220" w:lineRule="exact"/>
              <w:ind w:left="928" w:hanging="674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）通達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4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層以下供作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、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B-1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及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B-2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類組使用之樓層，應設置安全梯，其中至少一座應為戶外安全梯或特別安全梯。</w:t>
            </w:r>
          </w:p>
          <w:p w:rsidR="00574919" w:rsidRDefault="00574919">
            <w:pPr>
              <w:pStyle w:val="Standard"/>
              <w:widowControl/>
              <w:spacing w:line="220" w:lineRule="exact"/>
              <w:ind w:left="928" w:hanging="674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）通達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層以上供作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、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B-1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及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B-2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類組使用之樓層之直通樓梯，</w:t>
            </w:r>
            <w:proofErr w:type="gramStart"/>
            <w:r>
              <w:rPr>
                <w:rFonts w:eastAsia="標楷體" w:cs="Arial"/>
                <w:color w:val="000000"/>
                <w:spacing w:val="-8"/>
                <w:sz w:val="20"/>
              </w:rPr>
              <w:t>均應為</w:t>
            </w:r>
            <w:proofErr w:type="gramEnd"/>
            <w:r>
              <w:rPr>
                <w:rFonts w:eastAsia="標楷體" w:cs="Arial"/>
                <w:color w:val="000000"/>
                <w:spacing w:val="-8"/>
                <w:sz w:val="20"/>
              </w:rPr>
              <w:t>戶外安全梯或特別安全梯，</w:t>
            </w:r>
            <w:proofErr w:type="gramStart"/>
            <w:r>
              <w:rPr>
                <w:rFonts w:eastAsia="標楷體" w:cs="Arial"/>
                <w:color w:val="000000"/>
                <w:spacing w:val="-8"/>
                <w:sz w:val="20"/>
              </w:rPr>
              <w:t>並均應通達</w:t>
            </w:r>
            <w:proofErr w:type="gramEnd"/>
            <w:r>
              <w:rPr>
                <w:rFonts w:eastAsia="標楷體" w:cs="Arial"/>
                <w:color w:val="000000"/>
                <w:spacing w:val="-8"/>
                <w:sz w:val="20"/>
              </w:rPr>
              <w:t>屋頂避難平</w:t>
            </w:r>
            <w:proofErr w:type="gramStart"/>
            <w:r>
              <w:rPr>
                <w:rFonts w:eastAsia="標楷體" w:cs="Arial"/>
                <w:color w:val="000000"/>
                <w:spacing w:val="-8"/>
                <w:sz w:val="20"/>
              </w:rPr>
              <w:t>臺</w:t>
            </w:r>
            <w:proofErr w:type="gramEnd"/>
            <w:r>
              <w:rPr>
                <w:rFonts w:eastAsia="標楷體" w:cs="Arial"/>
                <w:color w:val="000000"/>
                <w:spacing w:val="-8"/>
                <w:sz w:val="20"/>
              </w:rPr>
              <w:t>。</w:t>
            </w:r>
          </w:p>
          <w:p w:rsidR="00574919" w:rsidRDefault="00574919">
            <w:pPr>
              <w:pStyle w:val="Standard"/>
              <w:widowControl/>
              <w:spacing w:line="220" w:lineRule="exact"/>
              <w:ind w:left="874" w:hanging="620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4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）直通樓梯之構造應具有半小時以上防火時效。</w:t>
            </w: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4919" w:rsidRDefault="00574919">
            <w:pPr>
              <w:rPr>
                <w:rFonts w:hint="eastAsia"/>
              </w:rPr>
            </w:pPr>
          </w:p>
        </w:tc>
      </w:tr>
      <w:tr w:rsidR="00574919" w:rsidTr="00504E07">
        <w:trPr>
          <w:jc w:val="center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4919" w:rsidRDefault="00574919" w:rsidP="00574919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4919" w:rsidRDefault="00574919">
            <w:pPr>
              <w:pStyle w:val="Standard"/>
              <w:spacing w:before="72" w:line="220" w:lineRule="exact"/>
              <w:ind w:left="276" w:hanging="276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1000701~</w:t>
            </w:r>
          </w:p>
          <w:p w:rsidR="00574919" w:rsidRDefault="00574919">
            <w:pPr>
              <w:pStyle w:val="Standard"/>
              <w:spacing w:before="72" w:line="220" w:lineRule="exact"/>
              <w:ind w:left="276" w:hanging="276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下列建築物依規定應設置之直通樓梯，其構造應改為室內或室外之安全梯或特別安全梯：</w:t>
            </w:r>
          </w:p>
          <w:p w:rsidR="00574919" w:rsidRDefault="00574919">
            <w:pPr>
              <w:pStyle w:val="Standard"/>
              <w:widowControl/>
              <w:spacing w:line="220" w:lineRule="exact"/>
              <w:ind w:left="928" w:hanging="674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）通達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層以上，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層以下之各樓層，直通樓梯應至少有一座為安全梯。但符合下列情形之</w:t>
            </w:r>
            <w:proofErr w:type="gramStart"/>
            <w:r>
              <w:rPr>
                <w:rFonts w:eastAsia="標楷體" w:cs="Arial"/>
                <w:color w:val="000000"/>
                <w:spacing w:val="-8"/>
                <w:sz w:val="20"/>
              </w:rPr>
              <w:t>一</w:t>
            </w:r>
            <w:proofErr w:type="gramEnd"/>
            <w:r>
              <w:rPr>
                <w:rFonts w:eastAsia="標楷體" w:cs="Arial"/>
                <w:color w:val="000000"/>
                <w:spacing w:val="-8"/>
                <w:sz w:val="20"/>
              </w:rPr>
              <w:t>者免受限制：</w:t>
            </w:r>
          </w:p>
          <w:p w:rsidR="00574919" w:rsidRDefault="00574919">
            <w:pPr>
              <w:pStyle w:val="Standard"/>
              <w:widowControl/>
              <w:spacing w:line="220" w:lineRule="exact"/>
              <w:ind w:left="870" w:hanging="248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a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）僅供建築物使用類組</w:t>
            </w:r>
            <w:r>
              <w:rPr>
                <w:rFonts w:eastAsia="標楷體"/>
                <w:color w:val="000000"/>
                <w:spacing w:val="-8"/>
                <w:sz w:val="20"/>
              </w:rPr>
              <w:t>D-3</w:t>
            </w:r>
            <w:r>
              <w:rPr>
                <w:rFonts w:eastAsia="標楷體" w:cs="標楷體"/>
                <w:color w:val="000000"/>
                <w:spacing w:val="-8"/>
                <w:sz w:val="20"/>
              </w:rPr>
              <w:t>、</w:t>
            </w:r>
            <w:r>
              <w:rPr>
                <w:rFonts w:eastAsia="標楷體"/>
                <w:color w:val="000000"/>
                <w:spacing w:val="-8"/>
                <w:sz w:val="20"/>
              </w:rPr>
              <w:t>D-4</w:t>
            </w:r>
            <w:r>
              <w:rPr>
                <w:rFonts w:eastAsia="標楷體" w:cs="標楷體"/>
                <w:color w:val="000000"/>
                <w:spacing w:val="-8"/>
                <w:sz w:val="20"/>
              </w:rPr>
              <w:t>組或</w:t>
            </w:r>
            <w:r>
              <w:rPr>
                <w:rFonts w:eastAsia="標楷體"/>
                <w:color w:val="000000"/>
                <w:spacing w:val="-8"/>
                <w:sz w:val="20"/>
              </w:rPr>
              <w:t>H-2</w:t>
            </w:r>
            <w:r>
              <w:rPr>
                <w:rFonts w:eastAsia="標楷體" w:cs="標楷體"/>
                <w:color w:val="000000"/>
                <w:spacing w:val="-8"/>
                <w:sz w:val="20"/>
              </w:rPr>
              <w:t>組</w:t>
            </w:r>
            <w:r>
              <w:rPr>
                <w:rFonts w:ascii="標楷體" w:eastAsia="標楷體" w:hAnsi="標楷體" w:cs="Arial"/>
                <w:color w:val="000000"/>
                <w:spacing w:val="-8"/>
                <w:sz w:val="20"/>
              </w:rPr>
              <w:t>之住宅、集合住宅及農舍使用。</w:t>
            </w:r>
          </w:p>
          <w:p w:rsidR="00574919" w:rsidRDefault="00574919">
            <w:pPr>
              <w:pStyle w:val="Standard"/>
              <w:widowControl/>
              <w:spacing w:line="220" w:lineRule="exact"/>
              <w:ind w:left="1237" w:hanging="615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b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）一棟一戶之連棟式住宅或獨棟住宅同時供其他用途使用，且屬非供公眾使用建築物。其供其他用途使用部分，為設於地面層及地上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層僅供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D</w:t>
            </w:r>
            <w:r>
              <w:rPr>
                <w:rFonts w:eastAsia="標楷體"/>
                <w:color w:val="000000"/>
                <w:spacing w:val="-8"/>
                <w:sz w:val="20"/>
              </w:rPr>
              <w:t>-5</w:t>
            </w:r>
            <w:r>
              <w:rPr>
                <w:rFonts w:eastAsia="標楷體" w:cs="標楷體"/>
                <w:color w:val="000000"/>
                <w:spacing w:val="-8"/>
                <w:sz w:val="20"/>
              </w:rPr>
              <w:t>、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G-2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或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G-3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組使用，並以具有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小時以上防火時效之防火門、牆壁及樓</w:t>
            </w:r>
            <w:proofErr w:type="gramStart"/>
            <w:r>
              <w:rPr>
                <w:rFonts w:eastAsia="標楷體" w:cs="Arial"/>
                <w:color w:val="000000"/>
                <w:spacing w:val="-8"/>
                <w:sz w:val="20"/>
              </w:rPr>
              <w:t>地板與供住宅</w:t>
            </w:r>
            <w:proofErr w:type="gramEnd"/>
            <w:r>
              <w:rPr>
                <w:rFonts w:eastAsia="標楷體" w:cs="Arial"/>
                <w:color w:val="000000"/>
                <w:spacing w:val="-8"/>
                <w:sz w:val="20"/>
              </w:rPr>
              <w:t>使用部分區劃分隔。</w:t>
            </w:r>
          </w:p>
          <w:p w:rsidR="00574919" w:rsidRDefault="00574919">
            <w:pPr>
              <w:pStyle w:val="Standard"/>
              <w:widowControl/>
              <w:spacing w:line="220" w:lineRule="exact"/>
              <w:ind w:left="928" w:hanging="674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）通達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6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層以上，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14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層以下或通達地下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層之各樓層，應設置安全梯；通達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15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層以上或地下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層以下之各樓層，應設置戶外安全梯或特別安全梯。但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15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層以上或地下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層以下各樓層之樓地板面積未超過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者，戶外安全梯或特別安全梯改設為一般安全梯。</w:t>
            </w:r>
          </w:p>
          <w:p w:rsidR="00574919" w:rsidRDefault="00574919">
            <w:pPr>
              <w:pStyle w:val="Standard"/>
              <w:widowControl/>
              <w:spacing w:line="220" w:lineRule="exact"/>
              <w:ind w:left="928" w:hanging="674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）通達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、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B-1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及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B-2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類組使用之樓層者，應為安全梯，其中至少一座應為戶外安全梯或特別安全梯。但該樓層位於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層以上者，通達該樓層之直通</w:t>
            </w:r>
            <w:proofErr w:type="gramStart"/>
            <w:r>
              <w:rPr>
                <w:rFonts w:eastAsia="標楷體" w:cs="Arial"/>
                <w:color w:val="000000"/>
                <w:spacing w:val="-8"/>
                <w:sz w:val="20"/>
              </w:rPr>
              <w:t>樓梯均應為</w:t>
            </w:r>
            <w:proofErr w:type="gramEnd"/>
            <w:r>
              <w:rPr>
                <w:rFonts w:eastAsia="標楷體" w:cs="Arial"/>
                <w:color w:val="000000"/>
                <w:spacing w:val="-8"/>
                <w:sz w:val="20"/>
              </w:rPr>
              <w:t>戶外安全梯或特別安全梯，</w:t>
            </w:r>
            <w:proofErr w:type="gramStart"/>
            <w:r>
              <w:rPr>
                <w:rFonts w:eastAsia="標楷體" w:cs="Arial"/>
                <w:color w:val="000000"/>
                <w:spacing w:val="-8"/>
                <w:sz w:val="20"/>
              </w:rPr>
              <w:t>並均應通達</w:t>
            </w:r>
            <w:proofErr w:type="gramEnd"/>
            <w:r>
              <w:rPr>
                <w:rFonts w:eastAsia="標楷體" w:cs="Arial"/>
                <w:color w:val="000000"/>
                <w:spacing w:val="-8"/>
                <w:sz w:val="20"/>
              </w:rPr>
              <w:t>屋頂避難平</w:t>
            </w:r>
            <w:proofErr w:type="gramStart"/>
            <w:r>
              <w:rPr>
                <w:rFonts w:eastAsia="標楷體" w:cs="Arial"/>
                <w:color w:val="000000"/>
                <w:spacing w:val="-8"/>
                <w:sz w:val="20"/>
              </w:rPr>
              <w:t>臺</w:t>
            </w:r>
            <w:proofErr w:type="gramEnd"/>
            <w:r>
              <w:rPr>
                <w:rFonts w:eastAsia="標楷體" w:cs="Arial"/>
                <w:color w:val="000000"/>
                <w:spacing w:val="-8"/>
                <w:sz w:val="20"/>
              </w:rPr>
              <w:t>。</w:t>
            </w:r>
          </w:p>
          <w:p w:rsidR="00574919" w:rsidRDefault="00574919">
            <w:pPr>
              <w:pStyle w:val="Standard"/>
              <w:widowControl/>
              <w:spacing w:line="220" w:lineRule="exact"/>
              <w:ind w:left="928" w:hanging="674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4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）直通樓梯之構造應具有半小時以上防火時效。</w:t>
            </w: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4919" w:rsidRDefault="00574919">
            <w:pPr>
              <w:rPr>
                <w:rFonts w:hint="eastAsia"/>
              </w:rPr>
            </w:pPr>
          </w:p>
        </w:tc>
      </w:tr>
      <w:tr w:rsidR="00574919" w:rsidTr="00A33840">
        <w:trPr>
          <w:jc w:val="center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4919" w:rsidRDefault="00574919" w:rsidP="00546FA2">
            <w:pPr>
              <w:pStyle w:val="Standard"/>
              <w:spacing w:before="72" w:after="72" w:line="240" w:lineRule="exac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4919" w:rsidRDefault="00574919" w:rsidP="00546FA2">
            <w:pPr>
              <w:pStyle w:val="Standard"/>
              <w:spacing w:before="108" w:after="108" w:line="220" w:lineRule="exact"/>
              <w:jc w:val="both"/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  <w:t xml:space="preserve"> 本申報場所依法得免檢討或建造當時法令無限制規定。</w:t>
            </w: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4919" w:rsidRDefault="00574919">
            <w:pPr>
              <w:rPr>
                <w:rFonts w:hint="eastAsia"/>
              </w:rPr>
            </w:pPr>
          </w:p>
        </w:tc>
      </w:tr>
    </w:tbl>
    <w:p w:rsidR="00306796" w:rsidRDefault="00306796">
      <w:pPr>
        <w:pStyle w:val="Standard"/>
        <w:spacing w:line="320" w:lineRule="exact"/>
        <w:rPr>
          <w:rFonts w:ascii="Arial" w:eastAsia="標楷體" w:hAnsi="Arial" w:cs="Arial"/>
          <w:color w:val="000000"/>
          <w:spacing w:val="-4"/>
          <w:szCs w:val="24"/>
        </w:rPr>
      </w:pPr>
    </w:p>
    <w:sectPr w:rsidR="00306796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BBC" w:rsidRDefault="00967BBC">
      <w:pPr>
        <w:rPr>
          <w:rFonts w:hint="eastAsia"/>
        </w:rPr>
      </w:pPr>
      <w:r>
        <w:separator/>
      </w:r>
    </w:p>
  </w:endnote>
  <w:endnote w:type="continuationSeparator" w:id="0">
    <w:p w:rsidR="00967BBC" w:rsidRDefault="00967B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BBC" w:rsidRDefault="00967BB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67BBC" w:rsidRDefault="00967BB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232BB"/>
    <w:rsid w:val="0004232C"/>
    <w:rsid w:val="00044860"/>
    <w:rsid w:val="00051D77"/>
    <w:rsid w:val="0006131D"/>
    <w:rsid w:val="00063DDD"/>
    <w:rsid w:val="0007123C"/>
    <w:rsid w:val="00077ABA"/>
    <w:rsid w:val="00077DAA"/>
    <w:rsid w:val="000930E3"/>
    <w:rsid w:val="000A46F8"/>
    <w:rsid w:val="000C455B"/>
    <w:rsid w:val="000C7582"/>
    <w:rsid w:val="001122BD"/>
    <w:rsid w:val="00112320"/>
    <w:rsid w:val="00116D93"/>
    <w:rsid w:val="0012129D"/>
    <w:rsid w:val="001274B0"/>
    <w:rsid w:val="00133127"/>
    <w:rsid w:val="00140F1E"/>
    <w:rsid w:val="00160C4F"/>
    <w:rsid w:val="0016408E"/>
    <w:rsid w:val="00182A71"/>
    <w:rsid w:val="001839BA"/>
    <w:rsid w:val="001A63BD"/>
    <w:rsid w:val="001B0352"/>
    <w:rsid w:val="001B3EEB"/>
    <w:rsid w:val="001B57EC"/>
    <w:rsid w:val="001C3FF9"/>
    <w:rsid w:val="001E61BA"/>
    <w:rsid w:val="001F36A9"/>
    <w:rsid w:val="001F789E"/>
    <w:rsid w:val="00206EA5"/>
    <w:rsid w:val="002240F9"/>
    <w:rsid w:val="0023656E"/>
    <w:rsid w:val="002516DA"/>
    <w:rsid w:val="00257AB5"/>
    <w:rsid w:val="002862AD"/>
    <w:rsid w:val="003015EB"/>
    <w:rsid w:val="00306796"/>
    <w:rsid w:val="00316703"/>
    <w:rsid w:val="00326169"/>
    <w:rsid w:val="00362F78"/>
    <w:rsid w:val="00362FB3"/>
    <w:rsid w:val="00390F36"/>
    <w:rsid w:val="003A0455"/>
    <w:rsid w:val="003B1758"/>
    <w:rsid w:val="003D2A6F"/>
    <w:rsid w:val="003D771D"/>
    <w:rsid w:val="0041270A"/>
    <w:rsid w:val="00434CAD"/>
    <w:rsid w:val="004436CE"/>
    <w:rsid w:val="00445BB0"/>
    <w:rsid w:val="00484268"/>
    <w:rsid w:val="004961B5"/>
    <w:rsid w:val="004A1B96"/>
    <w:rsid w:val="004B5E2F"/>
    <w:rsid w:val="004D47E8"/>
    <w:rsid w:val="004F09C6"/>
    <w:rsid w:val="004F5E98"/>
    <w:rsid w:val="00504AEB"/>
    <w:rsid w:val="00546FA2"/>
    <w:rsid w:val="00551B9F"/>
    <w:rsid w:val="00560789"/>
    <w:rsid w:val="00574919"/>
    <w:rsid w:val="005951CA"/>
    <w:rsid w:val="005A7F50"/>
    <w:rsid w:val="005B76BB"/>
    <w:rsid w:val="005D61BD"/>
    <w:rsid w:val="005E0CF5"/>
    <w:rsid w:val="005E537B"/>
    <w:rsid w:val="005F4A8D"/>
    <w:rsid w:val="00601902"/>
    <w:rsid w:val="0062236E"/>
    <w:rsid w:val="00623838"/>
    <w:rsid w:val="00633FE2"/>
    <w:rsid w:val="00645B27"/>
    <w:rsid w:val="00646564"/>
    <w:rsid w:val="006547FA"/>
    <w:rsid w:val="00654C9C"/>
    <w:rsid w:val="006704BA"/>
    <w:rsid w:val="00674044"/>
    <w:rsid w:val="00674A44"/>
    <w:rsid w:val="006A43F1"/>
    <w:rsid w:val="006A58EA"/>
    <w:rsid w:val="006A6A5E"/>
    <w:rsid w:val="006C2D6B"/>
    <w:rsid w:val="006D2F14"/>
    <w:rsid w:val="006E0EF2"/>
    <w:rsid w:val="006F0372"/>
    <w:rsid w:val="006F0E87"/>
    <w:rsid w:val="006F5802"/>
    <w:rsid w:val="006F76B3"/>
    <w:rsid w:val="00734886"/>
    <w:rsid w:val="007432C9"/>
    <w:rsid w:val="007502F5"/>
    <w:rsid w:val="00781973"/>
    <w:rsid w:val="00791974"/>
    <w:rsid w:val="007C6DBC"/>
    <w:rsid w:val="007E2FF0"/>
    <w:rsid w:val="007E3A84"/>
    <w:rsid w:val="0082067C"/>
    <w:rsid w:val="008546EC"/>
    <w:rsid w:val="0086397B"/>
    <w:rsid w:val="0087661B"/>
    <w:rsid w:val="00894F43"/>
    <w:rsid w:val="008A7E95"/>
    <w:rsid w:val="008C147E"/>
    <w:rsid w:val="008C4D9F"/>
    <w:rsid w:val="008C681D"/>
    <w:rsid w:val="00913D9D"/>
    <w:rsid w:val="009140FC"/>
    <w:rsid w:val="00917D1E"/>
    <w:rsid w:val="00933A16"/>
    <w:rsid w:val="00967BBC"/>
    <w:rsid w:val="009855E7"/>
    <w:rsid w:val="009901AE"/>
    <w:rsid w:val="009D0351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A07F4"/>
    <w:rsid w:val="00AB008B"/>
    <w:rsid w:val="00AC4C09"/>
    <w:rsid w:val="00B063E2"/>
    <w:rsid w:val="00B076AE"/>
    <w:rsid w:val="00B219D1"/>
    <w:rsid w:val="00B22A2A"/>
    <w:rsid w:val="00B45B75"/>
    <w:rsid w:val="00B57F66"/>
    <w:rsid w:val="00B60D59"/>
    <w:rsid w:val="00B8635C"/>
    <w:rsid w:val="00B911CC"/>
    <w:rsid w:val="00B929ED"/>
    <w:rsid w:val="00B957A0"/>
    <w:rsid w:val="00BB064E"/>
    <w:rsid w:val="00BB5107"/>
    <w:rsid w:val="00BC09D1"/>
    <w:rsid w:val="00BE06E0"/>
    <w:rsid w:val="00BE60EC"/>
    <w:rsid w:val="00C30109"/>
    <w:rsid w:val="00C31789"/>
    <w:rsid w:val="00C428CF"/>
    <w:rsid w:val="00C75652"/>
    <w:rsid w:val="00CB1378"/>
    <w:rsid w:val="00CB1BC0"/>
    <w:rsid w:val="00CB4278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E024A"/>
    <w:rsid w:val="00DE22D7"/>
    <w:rsid w:val="00E031AD"/>
    <w:rsid w:val="00E15D93"/>
    <w:rsid w:val="00E26EAA"/>
    <w:rsid w:val="00E35A02"/>
    <w:rsid w:val="00E42A83"/>
    <w:rsid w:val="00E73344"/>
    <w:rsid w:val="00EB2EFD"/>
    <w:rsid w:val="00EE16B4"/>
    <w:rsid w:val="00EF6410"/>
    <w:rsid w:val="00F045B5"/>
    <w:rsid w:val="00F20B10"/>
    <w:rsid w:val="00F40BD4"/>
    <w:rsid w:val="00F424A7"/>
    <w:rsid w:val="00F5303B"/>
    <w:rsid w:val="00FA5A43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4</cp:revision>
  <cp:lastPrinted>2011-11-07T18:21:00Z</cp:lastPrinted>
  <dcterms:created xsi:type="dcterms:W3CDTF">2019-06-19T07:37:00Z</dcterms:created>
  <dcterms:modified xsi:type="dcterms:W3CDTF">2019-11-28T03:57:00Z</dcterms:modified>
</cp:coreProperties>
</file>