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6F" w:rsidRDefault="003D2A6F" w:rsidP="003D2A6F">
      <w:pPr>
        <w:pStyle w:val="Standard"/>
        <w:spacing w:before="54" w:after="54"/>
        <w:jc w:val="both"/>
        <w:rPr>
          <w:rFonts w:ascii="DFKai-SB" w:eastAsia="DFKai-SB" w:hAnsi="DFKai-SB" w:cs="DFKai-SB"/>
          <w:color w:val="000000"/>
        </w:rPr>
      </w:pPr>
      <w:r>
        <w:rPr>
          <w:rFonts w:ascii="DFKai-SB" w:eastAsia="DFKai-SB" w:hAnsi="DFKai-SB" w:cs="DFKai-SB"/>
          <w:color w:val="000000"/>
        </w:rPr>
        <w:t>【貳】防火避難設施類檢查紀錄</w:t>
      </w:r>
    </w:p>
    <w:tbl>
      <w:tblPr>
        <w:tblW w:w="10109" w:type="dxa"/>
        <w:jc w:val="center"/>
        <w:tblLayout w:type="fixed"/>
        <w:tblCellMar>
          <w:left w:w="10" w:type="dxa"/>
          <w:right w:w="10" w:type="dxa"/>
        </w:tblCellMar>
        <w:tblLook w:val="0000" w:firstRow="0" w:lastRow="0" w:firstColumn="0" w:lastColumn="0" w:noHBand="0" w:noVBand="0"/>
      </w:tblPr>
      <w:tblGrid>
        <w:gridCol w:w="1200"/>
        <w:gridCol w:w="869"/>
        <w:gridCol w:w="7050"/>
        <w:gridCol w:w="990"/>
      </w:tblGrid>
      <w:tr w:rsidR="00306796" w:rsidTr="00C30109">
        <w:trPr>
          <w:jc w:val="center"/>
        </w:trPr>
        <w:tc>
          <w:tcPr>
            <w:tcW w:w="10109"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F27358">
            <w:pPr>
              <w:pStyle w:val="Standard"/>
              <w:spacing w:before="54" w:after="54"/>
              <w:jc w:val="both"/>
              <w:rPr>
                <w:rFonts w:ascii="DFKai-SB" w:eastAsia="DFKai-SB" w:hAnsi="DFKai-SB" w:cs="DFKai-SB"/>
                <w:color w:val="000000"/>
              </w:rPr>
            </w:pPr>
            <w:r>
              <w:rPr>
                <w:rFonts w:ascii="DFKai-SB" w:eastAsia="DFKai-SB" w:hAnsi="DFKai-SB" w:cs="DFKai-SB"/>
                <w:color w:val="000000"/>
              </w:rPr>
              <w:t>（八）安全梯</w:t>
            </w:r>
            <w:r w:rsidR="00097829">
              <w:rPr>
                <w:rFonts w:ascii="DFKai-SB" w:eastAsia="DFKai-SB" w:hAnsi="DFKai-SB" w:cs="DFKai-SB" w:hint="eastAsia"/>
                <w:color w:val="000000"/>
              </w:rPr>
              <w:t xml:space="preserve"> </w:t>
            </w:r>
            <w:r w:rsidR="00097829">
              <w:rPr>
                <w:rFonts w:ascii="DFKai-SB" w:eastAsia="DFKai-SB" w:hAnsi="DFKai-SB" w:cs="DFKai-SB"/>
                <w:color w:val="000000"/>
              </w:rPr>
              <w:t>特別安全梯</w:t>
            </w:r>
          </w:p>
        </w:tc>
      </w:tr>
      <w:tr w:rsidR="00306796" w:rsidTr="00C30109">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DFKai-SB" w:eastAsia="DFKai-SB" w:hAnsi="DFKai-SB" w:cs="DFKai-SB"/>
                <w:color w:val="000000"/>
                <w:sz w:val="22"/>
                <w:szCs w:val="22"/>
              </w:rPr>
            </w:pPr>
            <w:r>
              <w:rPr>
                <w:rFonts w:ascii="DFKai-SB" w:eastAsia="DFKai-SB" w:hAnsi="DFKai-SB" w:cs="DFKai-SB"/>
                <w:color w:val="000000"/>
                <w:sz w:val="22"/>
                <w:szCs w:val="22"/>
              </w:rPr>
              <w:t>填表說明</w:t>
            </w:r>
          </w:p>
        </w:tc>
        <w:tc>
          <w:tcPr>
            <w:tcW w:w="8909"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DFKai-SB" w:eastAsia="DFKai-SB" w:hAnsi="DFKai-SB" w:cs="DFKai-SB"/>
                <w:color w:val="000000"/>
                <w:spacing w:val="-12"/>
                <w:sz w:val="20"/>
              </w:rPr>
              <w:t>本表「檢查標準」欄內「○」、「</w:t>
            </w:r>
            <w:r>
              <w:rPr>
                <w:rFonts w:ascii="DFKai-SB" w:eastAsia="DFKai-SB" w:hAnsi="DFKai-SB" w:cs="DFKai-SB"/>
                <w:color w:val="000000"/>
                <w:spacing w:val="-12"/>
                <w:szCs w:val="24"/>
              </w:rPr>
              <w:t>△</w:t>
            </w:r>
            <w:r>
              <w:rPr>
                <w:rFonts w:ascii="DFKai-SB" w:eastAsia="DFKai-SB" w:hAnsi="DFKai-SB" w:cs="DFKai-SB"/>
                <w:color w:val="000000"/>
                <w:spacing w:val="-12"/>
                <w:sz w:val="20"/>
              </w:rPr>
              <w:t>」、「</w:t>
            </w:r>
            <w:r>
              <w:rPr>
                <w:rFonts w:ascii="DFKai-SB" w:eastAsia="DFKai-SB" w:hAnsi="DFKai-SB" w:cs="DFKai-SB"/>
                <w:color w:val="000000"/>
                <w:spacing w:val="-12"/>
                <w:szCs w:val="24"/>
              </w:rPr>
              <w:t>☆</w:t>
            </w:r>
            <w:r>
              <w:rPr>
                <w:rFonts w:ascii="DFKai-SB" w:eastAsia="DFKai-SB" w:hAnsi="DFKai-SB" w:cs="DFKai-SB"/>
                <w:color w:val="000000"/>
                <w:spacing w:val="-12"/>
                <w:sz w:val="20"/>
              </w:rPr>
              <w:t>」及「</w:t>
            </w:r>
            <w:r>
              <w:rPr>
                <w:rFonts w:ascii="Arial Unicode MS" w:eastAsia="Arial Unicode MS" w:hAnsi="Arial Unicode MS" w:cs="Arial Unicode MS"/>
                <w:color w:val="000000"/>
                <w:spacing w:val="-12"/>
                <w:szCs w:val="24"/>
              </w:rPr>
              <w:t>✕</w:t>
            </w:r>
            <w:r>
              <w:rPr>
                <w:rFonts w:ascii="DFKai-SB" w:eastAsia="DFKai-SB" w:hAnsi="DFKai-SB" w:cs="DFKai-SB"/>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DFKai-SB" w:cs="Arial"/>
                <w:color w:val="000000"/>
                <w:spacing w:val="-12"/>
                <w:sz w:val="20"/>
              </w:rPr>
              <w:t>1.</w:t>
            </w:r>
            <w:r>
              <w:rPr>
                <w:rFonts w:ascii="DFKai-SB" w:eastAsia="DFKai-SB" w:hAnsi="DFKai-SB" w:cs="DFKai-SB"/>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DFKai-SB" w:cs="Arial"/>
                <w:color w:val="000000"/>
                <w:spacing w:val="-12"/>
                <w:sz w:val="20"/>
              </w:rPr>
              <w:t>2.</w:t>
            </w:r>
            <w:r>
              <w:rPr>
                <w:rFonts w:ascii="DFKai-SB" w:eastAsia="DFKai-SB" w:hAnsi="DFKai-SB" w:cs="DFKai-SB"/>
                <w:color w:val="000000"/>
                <w:spacing w:val="-12"/>
                <w:sz w:val="20"/>
              </w:rPr>
              <w:t>「△」：依原有合法建築物</w:t>
            </w:r>
            <w:r>
              <w:rPr>
                <w:rFonts w:eastAsia="DFKai-SB" w:cs="Arial"/>
                <w:color w:val="000000"/>
                <w:spacing w:val="-12"/>
                <w:sz w:val="20"/>
              </w:rPr>
              <w:t>防火避難設施及消防設備改善辦法第</w:t>
            </w:r>
            <w:r>
              <w:rPr>
                <w:rFonts w:eastAsia="DFKai-SB" w:cs="Arial"/>
                <w:color w:val="000000"/>
                <w:spacing w:val="-12"/>
                <w:sz w:val="20"/>
              </w:rPr>
              <w:t>5</w:t>
            </w:r>
            <w:r>
              <w:rPr>
                <w:rFonts w:eastAsia="DFKai-SB" w:cs="Arial"/>
                <w:color w:val="000000"/>
                <w:spacing w:val="-12"/>
                <w:sz w:val="20"/>
              </w:rPr>
              <w:t>條至第</w:t>
            </w:r>
            <w:r>
              <w:rPr>
                <w:rFonts w:eastAsia="DFKai-SB" w:cs="Arial"/>
                <w:color w:val="000000"/>
                <w:spacing w:val="-12"/>
                <w:sz w:val="20"/>
              </w:rPr>
              <w:t>24</w:t>
            </w:r>
            <w:r>
              <w:rPr>
                <w:rFonts w:eastAsia="DFKai-SB" w:cs="Arial"/>
                <w:color w:val="000000"/>
                <w:spacing w:val="-12"/>
                <w:sz w:val="20"/>
              </w:rPr>
              <w:t>條有關規定檢討改善</w:t>
            </w:r>
            <w:r>
              <w:rPr>
                <w:rFonts w:ascii="DFKai-SB" w:eastAsia="DFKai-SB" w:hAnsi="DFKai-SB" w:cs="DFKai-SB"/>
                <w:color w:val="000000"/>
                <w:spacing w:val="-12"/>
                <w:sz w:val="20"/>
              </w:rPr>
              <w:t>。</w:t>
            </w:r>
          </w:p>
          <w:p w:rsidR="00306796" w:rsidRDefault="00116D93">
            <w:pPr>
              <w:pStyle w:val="Standard"/>
              <w:snapToGrid w:val="0"/>
              <w:spacing w:line="240" w:lineRule="exact"/>
              <w:ind w:left="968" w:hanging="836"/>
              <w:jc w:val="both"/>
            </w:pPr>
            <w:r>
              <w:rPr>
                <w:rFonts w:eastAsia="DFKai-SB" w:cs="Arial"/>
                <w:color w:val="000000"/>
                <w:spacing w:val="-12"/>
                <w:sz w:val="20"/>
              </w:rPr>
              <w:t>3.</w:t>
            </w:r>
            <w:r>
              <w:rPr>
                <w:rFonts w:ascii="DFKai-SB" w:eastAsia="DFKai-SB" w:hAnsi="DFKai-SB" w:cs="DFKai-SB"/>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DFKai-SB" w:cs="Arial"/>
                <w:color w:val="000000"/>
                <w:spacing w:val="-12"/>
                <w:sz w:val="20"/>
              </w:rPr>
              <w:t>4.</w:t>
            </w:r>
            <w:r>
              <w:rPr>
                <w:rFonts w:ascii="DFKai-SB" w:eastAsia="DFKai-SB" w:hAnsi="DFKai-SB" w:cs="DFKai-SB"/>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DFKai-SB" w:eastAsia="DFKai-SB" w:hAnsi="DFKai-SB" w:cs="DFKai-SB"/>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DFKai-SB" w:cs="Arial"/>
                <w:color w:val="000000"/>
                <w:spacing w:val="-12"/>
                <w:sz w:val="20"/>
              </w:rPr>
              <w:t>5.</w:t>
            </w:r>
            <w:r>
              <w:rPr>
                <w:rFonts w:ascii="DFKai-SB" w:eastAsia="DFKai-SB" w:hAnsi="DFKai-SB" w:cs="Arial"/>
                <w:color w:val="000000"/>
                <w:spacing w:val="-12"/>
                <w:sz w:val="20"/>
              </w:rPr>
              <w:t>「◎」：</w:t>
            </w:r>
            <w:r>
              <w:rPr>
                <w:rFonts w:ascii="DFKai-SB" w:eastAsia="DFKai-SB" w:hAnsi="DFKai-SB"/>
                <w:color w:val="000000"/>
                <w:spacing w:val="-12"/>
                <w:sz w:val="20"/>
              </w:rPr>
              <w:t>依建築物防火避難性能設計計畫書申請認可要點採用性能設計，依認可注意事項辦理檢查。</w:t>
            </w:r>
          </w:p>
        </w:tc>
      </w:tr>
      <w:tr w:rsidR="00097829" w:rsidTr="002A3C47">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pPr>
              <w:pStyle w:val="Standard"/>
              <w:spacing w:before="36" w:after="36" w:line="240" w:lineRule="exact"/>
              <w:jc w:val="center"/>
              <w:rPr>
                <w:rFonts w:ascii="DFKai-SB" w:eastAsia="DFKai-SB" w:hAnsi="DFKai-SB" w:cs="DFKai-SB"/>
                <w:color w:val="000000"/>
                <w:spacing w:val="-12"/>
                <w:sz w:val="22"/>
                <w:szCs w:val="22"/>
              </w:rPr>
            </w:pPr>
            <w:r>
              <w:rPr>
                <w:rFonts w:ascii="DFKai-SB" w:eastAsia="DFKai-SB" w:hAnsi="DFKai-SB" w:cs="DFKai-SB"/>
                <w:color w:val="000000"/>
                <w:spacing w:val="-12"/>
                <w:sz w:val="22"/>
                <w:szCs w:val="22"/>
              </w:rPr>
              <w:t>檢查標準</w:t>
            </w:r>
          </w:p>
        </w:tc>
        <w:tc>
          <w:tcPr>
            <w:tcW w:w="7050"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pPr>
              <w:pStyle w:val="Standard"/>
              <w:spacing w:before="36" w:after="36" w:line="240" w:lineRule="exact"/>
              <w:jc w:val="center"/>
            </w:pPr>
            <w:r>
              <w:rPr>
                <w:rFonts w:ascii="DFKai-SB" w:eastAsia="DFKai-SB" w:hAnsi="DFKai-SB" w:cs="DFKai-SB"/>
                <w:color w:val="000000"/>
                <w:sz w:val="22"/>
                <w:szCs w:val="22"/>
              </w:rPr>
              <w:t>檢查內容</w:t>
            </w:r>
            <w:proofErr w:type="gramStart"/>
            <w:r>
              <w:rPr>
                <w:rFonts w:ascii="DFKai-SB" w:eastAsia="DFKai-SB" w:hAnsi="DFKai-SB" w:cs="DFKai-SB"/>
                <w:color w:val="000000"/>
                <w:sz w:val="18"/>
                <w:szCs w:val="18"/>
              </w:rPr>
              <w:t>（</w:t>
            </w:r>
            <w:proofErr w:type="gramEnd"/>
            <w:r>
              <w:rPr>
                <w:rFonts w:ascii="DFKai-SB" w:eastAsia="DFKai-SB" w:hAnsi="DFKai-SB" w:cs="DFKai-SB"/>
                <w:color w:val="000000"/>
                <w:sz w:val="18"/>
                <w:szCs w:val="18"/>
              </w:rPr>
              <w:t>符合者標</w:t>
            </w:r>
            <w:proofErr w:type="gramStart"/>
            <w:r>
              <w:rPr>
                <w:rFonts w:ascii="DFKai-SB" w:eastAsia="DFKai-SB" w:hAnsi="DFKai-SB" w:cs="DFKai-SB"/>
                <w:color w:val="000000"/>
                <w:sz w:val="18"/>
                <w:szCs w:val="18"/>
              </w:rPr>
              <w:t>註</w:t>
            </w:r>
            <w:proofErr w:type="gramEnd"/>
            <w:r>
              <w:rPr>
                <w:rFonts w:ascii="DFKai-SB" w:eastAsia="DFKai-SB" w:hAnsi="DFKai-SB" w:cs="Arial Unicode MS"/>
                <w:color w:val="000000"/>
                <w:sz w:val="18"/>
                <w:szCs w:val="18"/>
              </w:rPr>
              <w:t>■</w:t>
            </w:r>
            <w:r>
              <w:rPr>
                <w:rFonts w:ascii="DFKai-SB" w:eastAsia="DFKai-SB" w:hAnsi="DFKai-SB" w:cs="DFKai-SB"/>
                <w:color w:val="000000"/>
                <w:sz w:val="18"/>
                <w:szCs w:val="18"/>
              </w:rPr>
              <w:t>、不符合者標</w:t>
            </w:r>
            <w:proofErr w:type="gramStart"/>
            <w:r>
              <w:rPr>
                <w:rFonts w:ascii="DFKai-SB" w:eastAsia="DFKai-SB" w:hAnsi="DFKai-SB" w:cs="DFKai-SB"/>
                <w:color w:val="000000"/>
                <w:sz w:val="18"/>
                <w:szCs w:val="18"/>
              </w:rPr>
              <w:t>註</w:t>
            </w:r>
            <w:proofErr w:type="gramEnd"/>
            <w:r>
              <w:rPr>
                <w:rFonts w:ascii="Arial Unicode MS" w:eastAsia="Arial Unicode MS" w:hAnsi="Arial Unicode MS" w:cs="Arial Unicode MS"/>
                <w:color w:val="000000"/>
                <w:sz w:val="18"/>
                <w:szCs w:val="18"/>
              </w:rPr>
              <w:t>✕</w:t>
            </w:r>
            <w:r>
              <w:rPr>
                <w:rFonts w:ascii="DFKai-SB" w:eastAsia="DFKai-SB" w:hAnsi="DFKai-SB" w:cs="DFKai-SB"/>
                <w:color w:val="000000"/>
                <w:sz w:val="18"/>
                <w:szCs w:val="18"/>
              </w:rPr>
              <w:t>、無涉關事項標註／）</w:t>
            </w:r>
          </w:p>
        </w:tc>
        <w:tc>
          <w:tcPr>
            <w:tcW w:w="99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97829" w:rsidRDefault="00097829">
            <w:pPr>
              <w:pStyle w:val="Standard"/>
              <w:spacing w:before="36" w:after="36" w:line="240" w:lineRule="exact"/>
              <w:ind w:left="-120" w:right="-120"/>
              <w:jc w:val="center"/>
              <w:rPr>
                <w:rFonts w:ascii="DFKai-SB" w:eastAsia="DFKai-SB" w:hAnsi="DFKai-SB" w:cs="DFKai-SB"/>
                <w:color w:val="000000"/>
                <w:spacing w:val="-12"/>
                <w:sz w:val="22"/>
                <w:szCs w:val="22"/>
              </w:rPr>
            </w:pPr>
            <w:r>
              <w:rPr>
                <w:rFonts w:ascii="DFKai-SB" w:eastAsia="DFKai-SB" w:hAnsi="DFKai-SB" w:cs="DFKai-SB"/>
                <w:color w:val="000000"/>
                <w:spacing w:val="-12"/>
                <w:sz w:val="22"/>
                <w:szCs w:val="22"/>
              </w:rPr>
              <w:t>檢查結果</w:t>
            </w:r>
          </w:p>
        </w:tc>
      </w:tr>
    </w:tbl>
    <w:p w:rsidR="00306796" w:rsidRDefault="00306796">
      <w:pPr>
        <w:pStyle w:val="Standard"/>
        <w:spacing w:line="20" w:lineRule="exact"/>
        <w:rPr>
          <w:color w:val="000000"/>
        </w:rPr>
      </w:pPr>
    </w:p>
    <w:tbl>
      <w:tblPr>
        <w:tblW w:w="10090" w:type="dxa"/>
        <w:jc w:val="center"/>
        <w:tblLayout w:type="fixed"/>
        <w:tblCellMar>
          <w:left w:w="10" w:type="dxa"/>
          <w:right w:w="10" w:type="dxa"/>
        </w:tblCellMar>
        <w:tblLook w:val="0000" w:firstRow="0" w:lastRow="0" w:firstColumn="0" w:lastColumn="0" w:noHBand="0" w:noVBand="0"/>
      </w:tblPr>
      <w:tblGrid>
        <w:gridCol w:w="1999"/>
        <w:gridCol w:w="7186"/>
        <w:gridCol w:w="905"/>
      </w:tblGrid>
      <w:tr w:rsidR="00097829" w:rsidTr="00B56CA7">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rsidP="00097829">
            <w:pPr>
              <w:pStyle w:val="Standard"/>
              <w:spacing w:before="36" w:after="36" w:line="240" w:lineRule="exact"/>
              <w:jc w:val="center"/>
              <w:rPr>
                <w:rFonts w:ascii="DFKai-SB" w:eastAsia="DFKai-SB" w:hAnsi="DFKai-SB" w:cs="DFKai-SB"/>
                <w:color w:val="000000"/>
                <w:sz w:val="20"/>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1</w:t>
            </w:r>
            <w:r w:rsidRPr="006F0E87">
              <w:rPr>
                <w:rFonts w:ascii="DFKai-SB" w:eastAsia="DFKai-SB" w:hAnsi="DFKai-SB"/>
                <w:color w:val="0070C0"/>
                <w:sz w:val="14"/>
              </w:rPr>
              <w:t>}</w:t>
            </w:r>
            <w:r>
              <w:rPr>
                <w:rFonts w:ascii="DFKai-SB" w:eastAsia="DFKai-SB" w:hAnsi="DFKai-SB" w:cs="DFKai-SB"/>
                <w:color w:val="000000"/>
                <w:sz w:val="20"/>
              </w:rPr>
              <w:t>「△」</w:t>
            </w:r>
          </w:p>
        </w:tc>
        <w:tc>
          <w:tcPr>
            <w:tcW w:w="718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pPr>
              <w:pStyle w:val="Standard"/>
              <w:widowControl/>
              <w:snapToGrid w:val="0"/>
              <w:spacing w:line="220" w:lineRule="exact"/>
              <w:ind w:left="700" w:hanging="700"/>
              <w:jc w:val="both"/>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2</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1</w:t>
            </w:r>
            <w:r>
              <w:rPr>
                <w:rFonts w:eastAsia="DFKai-SB" w:cs="Arial"/>
                <w:color w:val="000000"/>
                <w:sz w:val="20"/>
              </w:rPr>
              <w:t>）樓梯間及排煙室之四</w:t>
            </w:r>
            <w:proofErr w:type="gramStart"/>
            <w:r>
              <w:rPr>
                <w:rFonts w:eastAsia="DFKai-SB" w:cs="Arial"/>
                <w:color w:val="000000"/>
                <w:sz w:val="20"/>
              </w:rPr>
              <w:t>週</w:t>
            </w:r>
            <w:proofErr w:type="gramEnd"/>
            <w:r>
              <w:rPr>
                <w:rFonts w:eastAsia="DFKai-SB" w:cs="Arial"/>
                <w:color w:val="000000"/>
                <w:sz w:val="20"/>
              </w:rPr>
              <w:t>牆壁應具有</w:t>
            </w:r>
            <w:r>
              <w:rPr>
                <w:rFonts w:eastAsia="DFKai-SB" w:cs="Arial"/>
                <w:color w:val="000000"/>
                <w:sz w:val="20"/>
              </w:rPr>
              <w:t>1</w:t>
            </w:r>
            <w:r>
              <w:rPr>
                <w:rFonts w:eastAsia="DFKai-SB" w:cs="Arial"/>
                <w:color w:val="000000"/>
                <w:sz w:val="20"/>
              </w:rPr>
              <w:t>小時以上防火時效，其天花板及牆面之裝修，應為耐燃</w:t>
            </w:r>
            <w:r>
              <w:rPr>
                <w:rFonts w:eastAsia="DFKai-SB" w:cs="Arial"/>
                <w:color w:val="000000"/>
                <w:sz w:val="20"/>
              </w:rPr>
              <w:t>1</w:t>
            </w:r>
            <w:r>
              <w:rPr>
                <w:rFonts w:eastAsia="DFKai-SB" w:cs="Arial"/>
                <w:color w:val="000000"/>
                <w:sz w:val="20"/>
              </w:rPr>
              <w:t>級材料。樓梯間及排煙室開設採光用固定窗戶或在陽臺外牆開設之開口，除開口面積在</w:t>
            </w:r>
            <w:r>
              <w:rPr>
                <w:rFonts w:eastAsia="DFKai-SB" w:cs="Arial"/>
                <w:color w:val="000000"/>
                <w:sz w:val="20"/>
              </w:rPr>
              <w:t>1</w:t>
            </w:r>
            <w:r>
              <w:rPr>
                <w:rFonts w:eastAsia="DFKai-SB" w:cs="Arial"/>
                <w:color w:val="000000"/>
                <w:sz w:val="20"/>
              </w:rPr>
              <w:t>平方公尺以內並裝置具有半小時以上之防火時效之防火設備者，應與其他開口相距</w:t>
            </w:r>
            <w:r>
              <w:rPr>
                <w:rFonts w:eastAsia="DFKai-SB" w:cs="Arial"/>
                <w:color w:val="000000"/>
                <w:sz w:val="20"/>
              </w:rPr>
              <w:t>90</w:t>
            </w:r>
            <w:r>
              <w:rPr>
                <w:rFonts w:eastAsia="DFKai-SB" w:cs="Arial"/>
                <w:color w:val="000000"/>
                <w:sz w:val="20"/>
              </w:rPr>
              <w:t>公分以上。</w:t>
            </w:r>
          </w:p>
          <w:p w:rsidR="00097829" w:rsidRDefault="00097829">
            <w:pPr>
              <w:pStyle w:val="Standard"/>
              <w:widowControl/>
              <w:snapToGrid w:val="0"/>
              <w:spacing w:line="220" w:lineRule="exact"/>
              <w:ind w:left="700" w:hanging="700"/>
              <w:jc w:val="both"/>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3</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2</w:t>
            </w:r>
            <w:r>
              <w:rPr>
                <w:rFonts w:eastAsia="DFKai-SB" w:cs="Arial"/>
                <w:color w:val="000000"/>
                <w:sz w:val="20"/>
              </w:rPr>
              <w:t>）自室內通陽臺或進入排煙室之出入口，應裝設具有</w:t>
            </w:r>
            <w:r>
              <w:rPr>
                <w:rFonts w:eastAsia="DFKai-SB" w:cs="Arial"/>
                <w:color w:val="000000"/>
                <w:sz w:val="20"/>
              </w:rPr>
              <w:t>1</w:t>
            </w:r>
            <w:r>
              <w:rPr>
                <w:rFonts w:eastAsia="DFKai-SB" w:cs="Arial"/>
                <w:color w:val="000000"/>
                <w:sz w:val="20"/>
              </w:rPr>
              <w:t>小時以上防火時效</w:t>
            </w:r>
            <w:proofErr w:type="gramStart"/>
            <w:r>
              <w:rPr>
                <w:rFonts w:eastAsia="DFKai-SB" w:cs="Arial"/>
                <w:color w:val="000000"/>
                <w:sz w:val="20"/>
              </w:rPr>
              <w:t>及遮煙性</w:t>
            </w:r>
            <w:proofErr w:type="gramEnd"/>
            <w:r>
              <w:rPr>
                <w:rFonts w:eastAsia="DFKai-SB" w:cs="Arial"/>
                <w:color w:val="000000"/>
                <w:sz w:val="20"/>
              </w:rPr>
              <w:t>之防火門，自陽臺或排煙室進入樓梯間之出入口應裝設具有半小時以上防火時效之防火門。</w:t>
            </w:r>
          </w:p>
          <w:p w:rsidR="00097829" w:rsidRDefault="00097829">
            <w:pPr>
              <w:pStyle w:val="Standard"/>
              <w:snapToGrid w:val="0"/>
              <w:spacing w:line="220" w:lineRule="exact"/>
              <w:ind w:left="500" w:hanging="500"/>
              <w:jc w:val="both"/>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4</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3</w:t>
            </w:r>
            <w:r>
              <w:rPr>
                <w:rFonts w:eastAsia="DFKai-SB" w:cs="Arial"/>
                <w:color w:val="000000"/>
                <w:sz w:val="20"/>
              </w:rPr>
              <w:t>）樓梯間與排煙室或陽臺之間所開設之窗戶應為固定窗。</w:t>
            </w:r>
          </w:p>
          <w:p w:rsidR="00097829" w:rsidRDefault="00097829" w:rsidP="00BE60EC">
            <w:pPr>
              <w:pStyle w:val="Standard"/>
              <w:snapToGrid w:val="0"/>
              <w:spacing w:line="220" w:lineRule="exact"/>
              <w:ind w:left="500" w:hanging="500"/>
              <w:jc w:val="both"/>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5</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4</w:t>
            </w:r>
            <w:r>
              <w:rPr>
                <w:rFonts w:eastAsia="DFKai-SB" w:cs="Arial"/>
                <w:color w:val="000000"/>
                <w:sz w:val="20"/>
              </w:rPr>
              <w:t>）排煙室內應維持淨空，且不得違規使用。</w:t>
            </w:r>
          </w:p>
        </w:tc>
        <w:tc>
          <w:tcPr>
            <w:tcW w:w="905"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97829" w:rsidRDefault="00097829">
            <w:pPr>
              <w:pStyle w:val="Standard"/>
              <w:spacing w:line="260" w:lineRule="exact"/>
              <w:jc w:val="both"/>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bookmarkStart w:id="0" w:name="_GoBack"/>
            <w:bookmarkEnd w:id="0"/>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6</w:t>
            </w:r>
            <w:r w:rsidRPr="006F0E87">
              <w:rPr>
                <w:rFonts w:ascii="DFKai-SB" w:eastAsia="DFKai-SB" w:hAnsi="DFKai-SB"/>
                <w:color w:val="0070C0"/>
                <w:sz w:val="14"/>
              </w:rPr>
              <w:t>}</w:t>
            </w:r>
          </w:p>
          <w:p w:rsidR="00097829" w:rsidRDefault="00097829">
            <w:pPr>
              <w:pStyle w:val="Standard"/>
              <w:spacing w:line="260" w:lineRule="exact"/>
              <w:jc w:val="both"/>
              <w:rPr>
                <w:rFonts w:ascii="DFKai-SB" w:eastAsia="DFKai-SB" w:hAnsi="DFKai-SB" w:cs="DFKai-SB"/>
                <w:color w:val="000000"/>
                <w:spacing w:val="-12"/>
                <w:sz w:val="20"/>
              </w:rPr>
            </w:pPr>
            <w:r>
              <w:rPr>
                <w:rFonts w:ascii="DFKai-SB" w:eastAsia="DFKai-SB" w:hAnsi="DFKai-SB" w:cs="DFKai-SB"/>
                <w:color w:val="000000"/>
                <w:spacing w:val="-12"/>
                <w:sz w:val="20"/>
              </w:rPr>
              <w:t>合格</w:t>
            </w:r>
          </w:p>
          <w:p w:rsidR="00097829" w:rsidRDefault="00097829">
            <w:pPr>
              <w:pStyle w:val="Standard"/>
              <w:spacing w:line="260" w:lineRule="exact"/>
              <w:jc w:val="both"/>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6</w:t>
            </w:r>
            <w:r w:rsidRPr="006F0E87">
              <w:rPr>
                <w:rFonts w:ascii="DFKai-SB" w:eastAsia="DFKai-SB" w:hAnsi="DFKai-SB"/>
                <w:color w:val="0070C0"/>
                <w:sz w:val="14"/>
              </w:rPr>
              <w:t>}</w:t>
            </w:r>
          </w:p>
          <w:p w:rsidR="00097829" w:rsidRDefault="00097829">
            <w:pPr>
              <w:pStyle w:val="Standard"/>
              <w:spacing w:line="260" w:lineRule="exact"/>
              <w:jc w:val="both"/>
              <w:rPr>
                <w:rFonts w:ascii="DFKai-SB" w:eastAsia="DFKai-SB" w:hAnsi="DFKai-SB" w:cs="DFKai-SB"/>
                <w:color w:val="000000"/>
                <w:spacing w:val="-12"/>
                <w:sz w:val="20"/>
              </w:rPr>
            </w:pPr>
            <w:r>
              <w:rPr>
                <w:rFonts w:ascii="DFKai-SB" w:eastAsia="DFKai-SB" w:hAnsi="DFKai-SB" w:cs="DFKai-SB"/>
                <w:color w:val="000000"/>
                <w:spacing w:val="-12"/>
                <w:sz w:val="20"/>
              </w:rPr>
              <w:t>不合格</w:t>
            </w:r>
          </w:p>
          <w:p w:rsidR="00097829" w:rsidRDefault="00097829">
            <w:pPr>
              <w:pStyle w:val="Standard"/>
              <w:spacing w:line="260" w:lineRule="exact"/>
              <w:jc w:val="both"/>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sidRPr="006F0E87">
              <w:rPr>
                <w:rFonts w:ascii="DFKai-SB" w:eastAsia="DFKai-SB" w:hAnsi="DFKai-SB"/>
                <w:color w:val="0070C0"/>
                <w:sz w:val="14"/>
              </w:rPr>
              <w:t>_C0</w:t>
            </w:r>
            <w:r>
              <w:rPr>
                <w:rFonts w:ascii="DFKai-SB" w:eastAsia="DFKai-SB" w:hAnsi="DFKai-SB" w:hint="eastAsia"/>
                <w:color w:val="0070C0"/>
                <w:sz w:val="14"/>
              </w:rPr>
              <w:t>6</w:t>
            </w:r>
            <w:r w:rsidRPr="006F0E87">
              <w:rPr>
                <w:rFonts w:ascii="DFKai-SB" w:eastAsia="DFKai-SB" w:hAnsi="DFKai-SB"/>
                <w:color w:val="0070C0"/>
                <w:sz w:val="14"/>
              </w:rPr>
              <w:t>}</w:t>
            </w:r>
          </w:p>
          <w:p w:rsidR="00097829" w:rsidRDefault="00097829">
            <w:pPr>
              <w:pStyle w:val="Standard"/>
              <w:spacing w:line="260" w:lineRule="exact"/>
              <w:jc w:val="both"/>
              <w:rPr>
                <w:rFonts w:ascii="DFKai-SB" w:eastAsia="DFKai-SB" w:hAnsi="DFKai-SB" w:cs="DFKai-SB"/>
                <w:color w:val="000000"/>
                <w:spacing w:val="-12"/>
                <w:sz w:val="20"/>
              </w:rPr>
            </w:pPr>
            <w:r>
              <w:rPr>
                <w:rFonts w:ascii="DFKai-SB" w:eastAsia="DFKai-SB" w:hAnsi="DFKai-SB" w:cs="DFKai-SB"/>
                <w:color w:val="000000"/>
                <w:spacing w:val="-12"/>
                <w:sz w:val="20"/>
              </w:rPr>
              <w:t>提改善</w:t>
            </w:r>
          </w:p>
          <w:p w:rsidR="00097829" w:rsidRDefault="00097829" w:rsidP="00BE60EC">
            <w:pPr>
              <w:pStyle w:val="Standard"/>
              <w:spacing w:after="72" w:line="260" w:lineRule="exact"/>
              <w:jc w:val="both"/>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115</w:t>
            </w:r>
            <w:r>
              <w:rPr>
                <w:rFonts w:ascii="DFKai-SB" w:eastAsia="DFKai-SB" w:hAnsi="DFKai-SB"/>
                <w:color w:val="0070C0"/>
                <w:sz w:val="14"/>
              </w:rPr>
              <w:t>_C</w:t>
            </w:r>
            <w:r>
              <w:rPr>
                <w:rFonts w:ascii="DFKai-SB" w:eastAsia="DFKai-SB" w:hAnsi="DFKai-SB" w:hint="eastAsia"/>
                <w:color w:val="0070C0"/>
                <w:sz w:val="14"/>
              </w:rPr>
              <w:t>06</w:t>
            </w:r>
            <w:r w:rsidRPr="006F0E87">
              <w:rPr>
                <w:rFonts w:ascii="DFKai-SB" w:eastAsia="DFKai-SB" w:hAnsi="DFKai-SB"/>
                <w:color w:val="0070C0"/>
                <w:sz w:val="14"/>
              </w:rPr>
              <w:t>}</w:t>
            </w:r>
          </w:p>
          <w:p w:rsidR="00097829" w:rsidRDefault="00097829" w:rsidP="00BE60EC">
            <w:pPr>
              <w:pStyle w:val="Standard"/>
              <w:spacing w:after="72" w:line="260" w:lineRule="exact"/>
              <w:jc w:val="both"/>
              <w:rPr>
                <w:rFonts w:ascii="DFKai-SB" w:eastAsia="DFKai-SB" w:hAnsi="DFKai-SB" w:cs="DFKai-SB"/>
                <w:color w:val="000000"/>
                <w:spacing w:val="-12"/>
                <w:sz w:val="20"/>
              </w:rPr>
            </w:pPr>
            <w:r>
              <w:rPr>
                <w:rFonts w:ascii="DFKai-SB" w:eastAsia="DFKai-SB" w:hAnsi="DFKai-SB" w:cs="DFKai-SB"/>
                <w:color w:val="000000"/>
                <w:spacing w:val="-12"/>
                <w:sz w:val="20"/>
              </w:rPr>
              <w:t>免檢討</w:t>
            </w:r>
          </w:p>
        </w:tc>
      </w:tr>
      <w:tr w:rsidR="00097829" w:rsidTr="00B56CA7">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rsidP="00097829">
            <w:pPr>
              <w:pStyle w:val="Standard"/>
              <w:spacing w:before="36" w:after="36" w:line="240" w:lineRule="exact"/>
              <w:jc w:val="center"/>
              <w:rPr>
                <w:rFonts w:ascii="DFKai-SB" w:eastAsia="DFKai-SB" w:hAnsi="DFKai-SB" w:cs="DFKai-SB"/>
                <w:color w:val="000000"/>
                <w:sz w:val="20"/>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1</w:t>
            </w:r>
            <w:r w:rsidRPr="006F0E87">
              <w:rPr>
                <w:rFonts w:ascii="DFKai-SB" w:eastAsia="DFKai-SB" w:hAnsi="DFKai-SB"/>
                <w:color w:val="0070C0"/>
                <w:sz w:val="14"/>
              </w:rPr>
              <w:t>}</w:t>
            </w:r>
            <w:r>
              <w:rPr>
                <w:rFonts w:ascii="DFKai-SB" w:eastAsia="DFKai-SB" w:hAnsi="DFKai-SB" w:cs="DFKai-SB"/>
                <w:color w:val="000000"/>
                <w:sz w:val="20"/>
              </w:rPr>
              <w:t>「☆」</w:t>
            </w:r>
          </w:p>
        </w:tc>
        <w:tc>
          <w:tcPr>
            <w:tcW w:w="718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pPr>
              <w:pStyle w:val="Standard"/>
              <w:snapToGrid w:val="0"/>
              <w:spacing w:line="220" w:lineRule="exact"/>
              <w:jc w:val="both"/>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2</w:t>
            </w:r>
            <w:r w:rsidRPr="006F0E87">
              <w:rPr>
                <w:rFonts w:ascii="DFKai-SB" w:eastAsia="DFKai-SB" w:hAnsi="DFKai-SB"/>
                <w:color w:val="0070C0"/>
                <w:sz w:val="14"/>
              </w:rPr>
              <w:t>}</w:t>
            </w:r>
            <w:r>
              <w:rPr>
                <w:rFonts w:eastAsia="Times New Roman"/>
                <w:color w:val="000000"/>
                <w:sz w:val="20"/>
              </w:rPr>
              <w:t xml:space="preserve"> </w:t>
            </w:r>
            <w:r>
              <w:rPr>
                <w:rFonts w:eastAsia="DFKai-SB" w:cs="Arial"/>
                <w:color w:val="000000"/>
                <w:sz w:val="20"/>
              </w:rPr>
              <w:t>640807~921231</w:t>
            </w:r>
          </w:p>
          <w:p w:rsidR="00097829" w:rsidRDefault="00097829">
            <w:pPr>
              <w:pStyle w:val="Standard"/>
              <w:snapToGrid w:val="0"/>
              <w:spacing w:line="220" w:lineRule="exact"/>
              <w:ind w:left="1000" w:hanging="1000"/>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3</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1</w:t>
            </w:r>
            <w:r>
              <w:rPr>
                <w:rFonts w:eastAsia="DFKai-SB" w:cs="Arial"/>
                <w:color w:val="000000"/>
                <w:sz w:val="20"/>
              </w:rPr>
              <w:t>）自室內至安全梯，應經由陽臺或排煙室，始得進入；樓梯間及排煙室四周牆壁應為防火構造，其天花板及牆面之裝修，應為</w:t>
            </w:r>
            <w:proofErr w:type="gramStart"/>
            <w:r>
              <w:rPr>
                <w:rFonts w:eastAsia="DFKai-SB" w:cs="Arial"/>
                <w:color w:val="000000"/>
                <w:sz w:val="20"/>
              </w:rPr>
              <w:t>不</w:t>
            </w:r>
            <w:proofErr w:type="gramEnd"/>
            <w:r>
              <w:rPr>
                <w:rFonts w:eastAsia="DFKai-SB" w:cs="Arial"/>
                <w:color w:val="000000"/>
                <w:sz w:val="20"/>
              </w:rPr>
              <w:t>燃材料。</w:t>
            </w:r>
          </w:p>
          <w:p w:rsidR="00097829" w:rsidRDefault="00097829">
            <w:pPr>
              <w:pStyle w:val="Standard"/>
              <w:snapToGrid w:val="0"/>
              <w:spacing w:line="220" w:lineRule="exact"/>
              <w:ind w:left="1000" w:hanging="1000"/>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4</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2</w:t>
            </w:r>
            <w:r>
              <w:rPr>
                <w:rFonts w:eastAsia="DFKai-SB" w:cs="Arial"/>
                <w:color w:val="000000"/>
                <w:sz w:val="20"/>
              </w:rPr>
              <w:t>）樓梯間及排煙室，應設有緊急電源之照明設備。其開設採光用固定窗戶或在陽臺外牆開設之開口，除開口面積在</w:t>
            </w:r>
            <w:r>
              <w:rPr>
                <w:rFonts w:eastAsia="DFKai-SB" w:cs="Arial"/>
                <w:color w:val="000000"/>
                <w:sz w:val="20"/>
              </w:rPr>
              <w:t>1</w:t>
            </w:r>
            <w:r>
              <w:rPr>
                <w:rFonts w:eastAsia="DFKai-SB" w:cs="Arial"/>
                <w:color w:val="000000"/>
                <w:spacing w:val="-12"/>
                <w:sz w:val="20"/>
              </w:rPr>
              <w:t>平方公尺</w:t>
            </w:r>
            <w:r>
              <w:rPr>
                <w:rFonts w:eastAsia="DFKai-SB" w:cs="Arial"/>
                <w:color w:val="000000"/>
                <w:sz w:val="20"/>
              </w:rPr>
              <w:t>以內並裝置鑲嵌鐵絲網之固定玻璃者外，應與其他開口相距</w:t>
            </w:r>
            <w:r>
              <w:rPr>
                <w:rFonts w:eastAsia="DFKai-SB" w:cs="Arial"/>
                <w:color w:val="000000"/>
                <w:sz w:val="20"/>
              </w:rPr>
              <w:t>90</w:t>
            </w:r>
            <w:r>
              <w:rPr>
                <w:rFonts w:eastAsia="DFKai-SB" w:cs="Arial"/>
                <w:color w:val="000000"/>
                <w:sz w:val="20"/>
              </w:rPr>
              <w:t>公分以上。</w:t>
            </w:r>
          </w:p>
          <w:p w:rsidR="00097829" w:rsidRDefault="00097829">
            <w:pPr>
              <w:pStyle w:val="Standard"/>
              <w:snapToGrid w:val="0"/>
              <w:spacing w:line="220" w:lineRule="exact"/>
              <w:ind w:left="1000" w:hanging="1000"/>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5</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3</w:t>
            </w:r>
            <w:r>
              <w:rPr>
                <w:rFonts w:eastAsia="DFKai-SB" w:cs="Arial"/>
                <w:color w:val="000000"/>
                <w:sz w:val="20"/>
              </w:rPr>
              <w:t>）自室內通陽臺或進入排煙室之出入口，應裝設甲種防火門；自陽臺或排煙室進入樓梯間之出入口應裝設甲種或乙種防火門。</w:t>
            </w:r>
          </w:p>
          <w:p w:rsidR="00097829" w:rsidRDefault="00097829">
            <w:pPr>
              <w:pStyle w:val="Standard"/>
              <w:snapToGrid w:val="0"/>
              <w:spacing w:line="220" w:lineRule="exact"/>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6</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4</w:t>
            </w:r>
            <w:r>
              <w:rPr>
                <w:rFonts w:eastAsia="DFKai-SB" w:cs="Arial"/>
                <w:color w:val="000000"/>
                <w:sz w:val="20"/>
              </w:rPr>
              <w:t>）樓梯間與排煙室或陽臺之間所開設之窗戶應為固定窗。</w:t>
            </w:r>
          </w:p>
          <w:p w:rsidR="00097829" w:rsidRDefault="00097829" w:rsidP="00BE60EC">
            <w:pPr>
              <w:pStyle w:val="Standard"/>
              <w:snapToGrid w:val="0"/>
              <w:spacing w:line="220" w:lineRule="exact"/>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116</w:t>
            </w:r>
            <w:r w:rsidRPr="006F0E87">
              <w:rPr>
                <w:rFonts w:ascii="DFKai-SB" w:eastAsia="DFKai-SB" w:hAnsi="DFKai-SB"/>
                <w:color w:val="0070C0"/>
                <w:sz w:val="14"/>
              </w:rPr>
              <w:t>_C0</w:t>
            </w:r>
            <w:r>
              <w:rPr>
                <w:rFonts w:ascii="DFKai-SB" w:eastAsia="DFKai-SB" w:hAnsi="DFKai-SB" w:hint="eastAsia"/>
                <w:color w:val="0070C0"/>
                <w:sz w:val="14"/>
              </w:rPr>
              <w:t>7</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5</w:t>
            </w:r>
            <w:r>
              <w:rPr>
                <w:rFonts w:eastAsia="DFKai-SB" w:cs="Arial"/>
                <w:color w:val="000000"/>
                <w:sz w:val="20"/>
              </w:rPr>
              <w:t>）排煙室內應維持淨空，且不得違規使用。</w:t>
            </w:r>
          </w:p>
        </w:tc>
        <w:tc>
          <w:tcPr>
            <w:tcW w:w="905" w:type="dxa"/>
            <w:vMerge/>
            <w:tcBorders>
              <w:left w:val="single" w:sz="4" w:space="0" w:color="000000"/>
              <w:right w:val="single" w:sz="4" w:space="0" w:color="000000"/>
            </w:tcBorders>
            <w:tcMar>
              <w:top w:w="0" w:type="dxa"/>
              <w:left w:w="28" w:type="dxa"/>
              <w:bottom w:w="0" w:type="dxa"/>
              <w:right w:w="28" w:type="dxa"/>
            </w:tcMar>
            <w:vAlign w:val="center"/>
          </w:tcPr>
          <w:p w:rsidR="00097829" w:rsidRDefault="00097829">
            <w:pPr>
              <w:rPr>
                <w:rFonts w:hint="eastAsia"/>
              </w:rPr>
            </w:pPr>
          </w:p>
        </w:tc>
      </w:tr>
      <w:tr w:rsidR="00097829" w:rsidTr="00B56CA7">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Pr="00097829" w:rsidRDefault="00097829" w:rsidP="00097829">
            <w:pPr>
              <w:pStyle w:val="Standard"/>
              <w:spacing w:before="36" w:after="36" w:line="240" w:lineRule="exact"/>
              <w:jc w:val="center"/>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1</w:t>
            </w:r>
            <w:r w:rsidRPr="006F0E87">
              <w:rPr>
                <w:rFonts w:ascii="DFKai-SB" w:eastAsia="DFKai-SB" w:hAnsi="DFKai-SB"/>
                <w:color w:val="0070C0"/>
                <w:sz w:val="14"/>
              </w:rPr>
              <w:t>}</w:t>
            </w:r>
            <w:r>
              <w:rPr>
                <w:rFonts w:ascii="DFKai-SB" w:eastAsia="DFKai-SB" w:hAnsi="DFKai-SB" w:cs="DFKai-SB"/>
                <w:color w:val="000000"/>
                <w:sz w:val="20"/>
              </w:rPr>
              <w:t>「○」</w:t>
            </w:r>
          </w:p>
        </w:tc>
        <w:tc>
          <w:tcPr>
            <w:tcW w:w="718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Default="00097829" w:rsidP="00097829">
            <w:pPr>
              <w:pStyle w:val="Standard"/>
              <w:snapToGrid w:val="0"/>
              <w:spacing w:line="220" w:lineRule="exact"/>
              <w:jc w:val="both"/>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2</w:t>
            </w:r>
            <w:r w:rsidRPr="006F0E87">
              <w:rPr>
                <w:rFonts w:ascii="DFKai-SB" w:eastAsia="DFKai-SB" w:hAnsi="DFKai-SB"/>
                <w:color w:val="0070C0"/>
                <w:sz w:val="14"/>
              </w:rPr>
              <w:t>}</w:t>
            </w:r>
            <w:r>
              <w:rPr>
                <w:rFonts w:eastAsia="Times New Roman"/>
                <w:color w:val="000000"/>
                <w:sz w:val="20"/>
              </w:rPr>
              <w:t xml:space="preserve"> </w:t>
            </w:r>
            <w:r>
              <w:rPr>
                <w:rFonts w:eastAsia="DFKai-SB" w:cs="Arial"/>
                <w:color w:val="000000"/>
                <w:sz w:val="20"/>
              </w:rPr>
              <w:t>930101~</w:t>
            </w:r>
          </w:p>
          <w:p w:rsidR="00097829" w:rsidRDefault="00097829" w:rsidP="00097829">
            <w:pPr>
              <w:pStyle w:val="Standard"/>
              <w:snapToGrid w:val="0"/>
              <w:spacing w:line="220" w:lineRule="exact"/>
              <w:ind w:left="1000" w:hanging="1000"/>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3</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1</w:t>
            </w:r>
            <w:r>
              <w:rPr>
                <w:rFonts w:eastAsia="DFKai-SB" w:cs="Arial"/>
                <w:color w:val="000000"/>
                <w:sz w:val="20"/>
              </w:rPr>
              <w:t>）樓梯間及排煙室之四</w:t>
            </w:r>
            <w:proofErr w:type="gramStart"/>
            <w:r>
              <w:rPr>
                <w:rFonts w:eastAsia="DFKai-SB" w:cs="Arial"/>
                <w:color w:val="000000"/>
                <w:sz w:val="20"/>
              </w:rPr>
              <w:t>週</w:t>
            </w:r>
            <w:proofErr w:type="gramEnd"/>
            <w:r>
              <w:rPr>
                <w:rFonts w:eastAsia="DFKai-SB" w:cs="Arial"/>
                <w:color w:val="000000"/>
                <w:sz w:val="20"/>
              </w:rPr>
              <w:t>牆壁應具有</w:t>
            </w:r>
            <w:r>
              <w:rPr>
                <w:rFonts w:eastAsia="DFKai-SB" w:cs="Arial"/>
                <w:color w:val="000000"/>
                <w:sz w:val="20"/>
              </w:rPr>
              <w:t>1</w:t>
            </w:r>
            <w:r>
              <w:rPr>
                <w:rFonts w:eastAsia="DFKai-SB" w:cs="Arial"/>
                <w:color w:val="000000"/>
                <w:sz w:val="20"/>
              </w:rPr>
              <w:t>小時以上防火時效，其天花板及牆面之裝修，應為耐燃</w:t>
            </w:r>
            <w:r>
              <w:rPr>
                <w:rFonts w:eastAsia="DFKai-SB" w:cs="Arial"/>
                <w:color w:val="000000"/>
                <w:sz w:val="20"/>
              </w:rPr>
              <w:t>1</w:t>
            </w:r>
            <w:r>
              <w:rPr>
                <w:rFonts w:eastAsia="DFKai-SB" w:cs="Arial"/>
                <w:color w:val="000000"/>
                <w:sz w:val="20"/>
              </w:rPr>
              <w:t>級材料。</w:t>
            </w:r>
          </w:p>
          <w:p w:rsidR="00097829" w:rsidRDefault="00097829" w:rsidP="00097829">
            <w:pPr>
              <w:pStyle w:val="Standard"/>
              <w:snapToGrid w:val="0"/>
              <w:spacing w:line="220" w:lineRule="exact"/>
              <w:ind w:left="1000" w:hanging="1000"/>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4</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2</w:t>
            </w:r>
            <w:r>
              <w:rPr>
                <w:rFonts w:eastAsia="DFKai-SB" w:cs="Arial"/>
                <w:color w:val="000000"/>
                <w:sz w:val="20"/>
              </w:rPr>
              <w:t>）樓梯間及排煙室，應設有緊急電源之照明設備。其開設採光用固定窗戶或在陽臺外牆開設之開口，除開口面積在</w:t>
            </w:r>
            <w:r>
              <w:rPr>
                <w:rFonts w:eastAsia="DFKai-SB" w:cs="Arial"/>
                <w:color w:val="000000"/>
                <w:sz w:val="20"/>
              </w:rPr>
              <w:t>1</w:t>
            </w:r>
            <w:r>
              <w:rPr>
                <w:rFonts w:eastAsia="DFKai-SB" w:cs="Arial"/>
                <w:color w:val="000000"/>
                <w:spacing w:val="-12"/>
                <w:sz w:val="20"/>
              </w:rPr>
              <w:t>平方公尺</w:t>
            </w:r>
            <w:r>
              <w:rPr>
                <w:rFonts w:eastAsia="DFKai-SB" w:cs="Arial"/>
                <w:color w:val="000000"/>
                <w:sz w:val="20"/>
              </w:rPr>
              <w:t>以內並裝置具有半小時</w:t>
            </w:r>
            <w:r>
              <w:rPr>
                <w:rFonts w:eastAsia="Times New Roman"/>
                <w:color w:val="000000"/>
                <w:sz w:val="20"/>
              </w:rPr>
              <w:t xml:space="preserve">  </w:t>
            </w:r>
            <w:r>
              <w:rPr>
                <w:rFonts w:eastAsia="DFKai-SB" w:cs="Arial"/>
                <w:color w:val="000000"/>
                <w:sz w:val="20"/>
              </w:rPr>
              <w:t>以上之防火時效之防火設備者，應與其他開口相距</w:t>
            </w:r>
            <w:r>
              <w:rPr>
                <w:rFonts w:eastAsia="DFKai-SB" w:cs="Arial"/>
                <w:color w:val="000000"/>
                <w:sz w:val="20"/>
              </w:rPr>
              <w:t>90</w:t>
            </w:r>
            <w:r>
              <w:rPr>
                <w:rFonts w:eastAsia="DFKai-SB" w:cs="Arial"/>
                <w:color w:val="000000"/>
                <w:sz w:val="20"/>
              </w:rPr>
              <w:t>公分以上。</w:t>
            </w:r>
          </w:p>
          <w:p w:rsidR="00097829" w:rsidRDefault="00097829" w:rsidP="00097829">
            <w:pPr>
              <w:pStyle w:val="Standard"/>
              <w:snapToGrid w:val="0"/>
              <w:spacing w:line="220" w:lineRule="exact"/>
              <w:ind w:left="1000" w:hanging="1000"/>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5</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3</w:t>
            </w:r>
            <w:r>
              <w:rPr>
                <w:rFonts w:eastAsia="DFKai-SB" w:cs="Arial"/>
                <w:color w:val="000000"/>
                <w:sz w:val="20"/>
              </w:rPr>
              <w:t>）自室內通陽臺或進入排煙室之出入口，應裝設具有</w:t>
            </w:r>
            <w:r>
              <w:rPr>
                <w:rFonts w:eastAsia="DFKai-SB" w:cs="Arial"/>
                <w:color w:val="000000"/>
                <w:sz w:val="20"/>
              </w:rPr>
              <w:t>1</w:t>
            </w:r>
            <w:r>
              <w:rPr>
                <w:rFonts w:eastAsia="DFKai-SB" w:cs="Arial"/>
                <w:color w:val="000000"/>
                <w:sz w:val="20"/>
              </w:rPr>
              <w:t>小時以上防火時效及半小時</w:t>
            </w:r>
            <w:proofErr w:type="gramStart"/>
            <w:r>
              <w:rPr>
                <w:rFonts w:eastAsia="DFKai-SB" w:cs="Arial"/>
                <w:color w:val="000000"/>
                <w:sz w:val="20"/>
              </w:rPr>
              <w:t>以上阻熱</w:t>
            </w:r>
            <w:proofErr w:type="gramEnd"/>
            <w:r>
              <w:rPr>
                <w:rFonts w:eastAsia="DFKai-SB" w:cs="Arial"/>
                <w:color w:val="000000"/>
                <w:sz w:val="20"/>
              </w:rPr>
              <w:t>性之防火門，自陽臺或排煙室進入樓梯間之出入口應裝設具有半小時以上防火時效之防火門。</w:t>
            </w:r>
          </w:p>
          <w:p w:rsidR="00097829" w:rsidRDefault="00097829" w:rsidP="00097829">
            <w:pPr>
              <w:pStyle w:val="Standard"/>
              <w:snapToGrid w:val="0"/>
              <w:spacing w:line="220" w:lineRule="exact"/>
              <w:jc w:val="both"/>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6</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4</w:t>
            </w:r>
            <w:r>
              <w:rPr>
                <w:rFonts w:eastAsia="DFKai-SB" w:cs="Arial"/>
                <w:color w:val="000000"/>
                <w:sz w:val="20"/>
              </w:rPr>
              <w:t>）樓梯間與排煙室或陽臺之間所開設之窗戶應為固定窗。</w:t>
            </w:r>
          </w:p>
          <w:p w:rsidR="00097829" w:rsidRPr="006F0E87" w:rsidRDefault="00097829" w:rsidP="00097829">
            <w:pPr>
              <w:pStyle w:val="Standard"/>
              <w:snapToGrid w:val="0"/>
              <w:spacing w:line="220" w:lineRule="exact"/>
              <w:jc w:val="both"/>
              <w:rPr>
                <w:rFonts w:ascii="DFKai-SB" w:eastAsia="DFKai-SB" w:hAnsi="DFKai-SB"/>
                <w:color w:val="0070C0"/>
                <w:sz w:val="14"/>
              </w:rPr>
            </w:pPr>
            <w:r>
              <w:rPr>
                <w:rFonts w:ascii="DFKai-SB" w:eastAsia="DFKai-SB" w:hAnsi="DFKai-SB" w:cs="DFKai-SB"/>
                <w:color w:val="000000"/>
                <w:sz w:val="20"/>
              </w:rPr>
              <w:t xml:space="preserve">   </w:t>
            </w: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117</w:t>
            </w:r>
            <w:r w:rsidRPr="006F0E87">
              <w:rPr>
                <w:rFonts w:ascii="DFKai-SB" w:eastAsia="DFKai-SB" w:hAnsi="DFKai-SB"/>
                <w:color w:val="0070C0"/>
                <w:sz w:val="14"/>
              </w:rPr>
              <w:t>_C0</w:t>
            </w:r>
            <w:r>
              <w:rPr>
                <w:rFonts w:ascii="DFKai-SB" w:eastAsia="DFKai-SB" w:hAnsi="DFKai-SB" w:hint="eastAsia"/>
                <w:color w:val="0070C0"/>
                <w:sz w:val="14"/>
              </w:rPr>
              <w:t>7</w:t>
            </w:r>
            <w:r w:rsidRPr="006F0E87">
              <w:rPr>
                <w:rFonts w:ascii="DFKai-SB" w:eastAsia="DFKai-SB" w:hAnsi="DFKai-SB"/>
                <w:color w:val="0070C0"/>
                <w:sz w:val="14"/>
              </w:rPr>
              <w:t>}</w:t>
            </w:r>
            <w:r>
              <w:rPr>
                <w:rFonts w:eastAsia="DFKai-SB" w:cs="Arial"/>
                <w:color w:val="000000"/>
                <w:sz w:val="20"/>
              </w:rPr>
              <w:t>（</w:t>
            </w:r>
            <w:r>
              <w:rPr>
                <w:rFonts w:eastAsia="DFKai-SB" w:cs="Arial"/>
                <w:color w:val="000000"/>
                <w:sz w:val="20"/>
              </w:rPr>
              <w:t>5</w:t>
            </w:r>
            <w:r>
              <w:rPr>
                <w:rFonts w:eastAsia="DFKai-SB" w:cs="Arial"/>
                <w:color w:val="000000"/>
                <w:sz w:val="20"/>
              </w:rPr>
              <w:t>）排煙室內應維持淨空，且不得違規使用。</w:t>
            </w:r>
          </w:p>
        </w:tc>
        <w:tc>
          <w:tcPr>
            <w:tcW w:w="905" w:type="dxa"/>
            <w:vMerge/>
            <w:tcBorders>
              <w:left w:val="single" w:sz="4" w:space="0" w:color="000000"/>
              <w:right w:val="single" w:sz="4" w:space="0" w:color="000000"/>
            </w:tcBorders>
            <w:tcMar>
              <w:top w:w="0" w:type="dxa"/>
              <w:left w:w="28" w:type="dxa"/>
              <w:bottom w:w="0" w:type="dxa"/>
              <w:right w:w="28" w:type="dxa"/>
            </w:tcMar>
            <w:vAlign w:val="center"/>
          </w:tcPr>
          <w:p w:rsidR="00097829" w:rsidRDefault="00097829">
            <w:pPr>
              <w:rPr>
                <w:rFonts w:hint="eastAsia"/>
              </w:rPr>
            </w:pPr>
          </w:p>
        </w:tc>
      </w:tr>
      <w:tr w:rsidR="00097829" w:rsidTr="00B56CA7">
        <w:trPr>
          <w:jc w:val="center"/>
        </w:trPr>
        <w:tc>
          <w:tcPr>
            <w:tcW w:w="199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Pr="006F0E87" w:rsidRDefault="00097829" w:rsidP="00097829">
            <w:pPr>
              <w:pStyle w:val="Standard"/>
              <w:spacing w:before="36" w:after="36" w:line="240" w:lineRule="exact"/>
              <w:jc w:val="center"/>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118</w:t>
            </w:r>
            <w:r w:rsidRPr="006F0E87">
              <w:rPr>
                <w:rFonts w:ascii="DFKai-SB" w:eastAsia="DFKai-SB" w:hAnsi="DFKai-SB"/>
                <w:color w:val="0070C0"/>
                <w:sz w:val="14"/>
              </w:rPr>
              <w:t>_C0</w:t>
            </w:r>
            <w:r>
              <w:rPr>
                <w:rFonts w:ascii="DFKai-SB" w:eastAsia="DFKai-SB" w:hAnsi="DFKai-SB" w:hint="eastAsia"/>
                <w:color w:val="0070C0"/>
                <w:sz w:val="14"/>
              </w:rPr>
              <w:t>1</w:t>
            </w:r>
            <w:r w:rsidRPr="006F0E87">
              <w:rPr>
                <w:rFonts w:ascii="DFKai-SB" w:eastAsia="DFKai-SB" w:hAnsi="DFKai-SB"/>
                <w:color w:val="0070C0"/>
                <w:sz w:val="14"/>
              </w:rPr>
              <w:t>}</w:t>
            </w:r>
            <w:r>
              <w:rPr>
                <w:rFonts w:ascii="DFKai-SB" w:eastAsia="DFKai-SB" w:hAnsi="DFKai-SB" w:cs="DFKai-SB"/>
                <w:color w:val="000000"/>
                <w:sz w:val="20"/>
              </w:rPr>
              <w:t>「</w:t>
            </w:r>
            <w:r>
              <w:rPr>
                <w:rFonts w:ascii="Arial Unicode MS" w:eastAsia="Arial Unicode MS" w:hAnsi="Arial Unicode MS" w:cs="Arial Unicode MS"/>
                <w:color w:val="000000"/>
                <w:sz w:val="20"/>
              </w:rPr>
              <w:t>✕</w:t>
            </w:r>
            <w:r>
              <w:rPr>
                <w:rFonts w:ascii="DFKai-SB" w:eastAsia="DFKai-SB" w:hAnsi="DFKai-SB" w:cs="DFKai-SB"/>
                <w:color w:val="000000"/>
                <w:sz w:val="20"/>
              </w:rPr>
              <w:t>」</w:t>
            </w:r>
          </w:p>
        </w:tc>
        <w:tc>
          <w:tcPr>
            <w:tcW w:w="718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97829" w:rsidRPr="006F0E87" w:rsidRDefault="00097829" w:rsidP="00097829">
            <w:pPr>
              <w:pStyle w:val="Standard"/>
              <w:snapToGrid w:val="0"/>
              <w:spacing w:line="220" w:lineRule="exact"/>
              <w:jc w:val="both"/>
              <w:rPr>
                <w:rFonts w:ascii="DFKai-SB" w:eastAsia="DFKai-SB" w:hAnsi="DFKai-SB"/>
                <w:color w:val="0070C0"/>
                <w:sz w:val="14"/>
              </w:rPr>
            </w:pPr>
            <w:r w:rsidRPr="006F0E87">
              <w:rPr>
                <w:rFonts w:ascii="DFKai-SB" w:eastAsia="DFKai-SB" w:hAnsi="DFKai-SB"/>
                <w:color w:val="0070C0"/>
                <w:sz w:val="14"/>
              </w:rPr>
              <w:t>${F</w:t>
            </w:r>
            <w:r w:rsidRPr="006F0E87">
              <w:rPr>
                <w:rFonts w:ascii="DFKai-SB" w:eastAsia="DFKai-SB" w:hAnsi="DFKai-SB" w:hint="eastAsia"/>
                <w:color w:val="0070C0"/>
                <w:sz w:val="14"/>
              </w:rPr>
              <w:t>E</w:t>
            </w:r>
            <w:r w:rsidRPr="006F0E87">
              <w:rPr>
                <w:rFonts w:ascii="DFKai-SB" w:eastAsia="DFKai-SB" w:hAnsi="DFKai-SB"/>
                <w:color w:val="0070C0"/>
                <w:sz w:val="14"/>
              </w:rPr>
              <w:t>_</w:t>
            </w:r>
            <w:r>
              <w:rPr>
                <w:rFonts w:ascii="DFKai-SB" w:eastAsia="DFKai-SB" w:hAnsi="DFKai-SB" w:hint="eastAsia"/>
                <w:color w:val="0070C0"/>
                <w:sz w:val="14"/>
              </w:rPr>
              <w:t>FR</w:t>
            </w:r>
            <w:r>
              <w:rPr>
                <w:rFonts w:ascii="DFKai-SB" w:eastAsia="DFKai-SB" w:hAnsi="DFKai-SB"/>
                <w:color w:val="0070C0"/>
                <w:sz w:val="14"/>
              </w:rPr>
              <w:t>_GC_R</w:t>
            </w:r>
            <w:r>
              <w:rPr>
                <w:rFonts w:ascii="DFKai-SB" w:eastAsia="DFKai-SB" w:hAnsi="DFKai-SB" w:hint="eastAsia"/>
                <w:color w:val="0070C0"/>
                <w:sz w:val="14"/>
              </w:rPr>
              <w:t>118</w:t>
            </w:r>
            <w:r w:rsidRPr="006F0E87">
              <w:rPr>
                <w:rFonts w:ascii="DFKai-SB" w:eastAsia="DFKai-SB" w:hAnsi="DFKai-SB"/>
                <w:color w:val="0070C0"/>
                <w:sz w:val="14"/>
              </w:rPr>
              <w:t>_C0</w:t>
            </w:r>
            <w:r>
              <w:rPr>
                <w:rFonts w:ascii="DFKai-SB" w:eastAsia="DFKai-SB" w:hAnsi="DFKai-SB" w:hint="eastAsia"/>
                <w:color w:val="0070C0"/>
                <w:sz w:val="14"/>
              </w:rPr>
              <w:t>2</w:t>
            </w:r>
            <w:r w:rsidRPr="006F0E87">
              <w:rPr>
                <w:rFonts w:ascii="DFKai-SB" w:eastAsia="DFKai-SB" w:hAnsi="DFKai-SB"/>
                <w:color w:val="0070C0"/>
                <w:sz w:val="14"/>
              </w:rPr>
              <w:t>}</w:t>
            </w:r>
            <w:r>
              <w:rPr>
                <w:rFonts w:ascii="DFKai-SB" w:eastAsia="DFKai-SB" w:hAnsi="DFKai-SB" w:cs="DFKai-SB"/>
                <w:color w:val="000000"/>
                <w:sz w:val="20"/>
              </w:rPr>
              <w:t xml:space="preserve"> 本申報場所依法得免檢討或建造當時法令無限制規定。</w:t>
            </w:r>
          </w:p>
        </w:tc>
        <w:tc>
          <w:tcPr>
            <w:tcW w:w="905"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097829" w:rsidRDefault="00097829">
            <w:pPr>
              <w:rPr>
                <w:rFonts w:hint="eastAsia"/>
              </w:rPr>
            </w:pPr>
          </w:p>
        </w:tc>
      </w:tr>
    </w:tbl>
    <w:p w:rsidR="00306796" w:rsidRDefault="00306796">
      <w:pPr>
        <w:pStyle w:val="Standard"/>
        <w:spacing w:line="60" w:lineRule="exact"/>
        <w:rPr>
          <w:color w:val="000000"/>
        </w:rPr>
      </w:pPr>
    </w:p>
    <w:sectPr w:rsidR="00306796">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13E" w:rsidRDefault="004E513E">
      <w:pPr>
        <w:rPr>
          <w:rFonts w:hint="eastAsia"/>
        </w:rPr>
      </w:pPr>
      <w:r>
        <w:separator/>
      </w:r>
    </w:p>
  </w:endnote>
  <w:endnote w:type="continuationSeparator" w:id="0">
    <w:p w:rsidR="004E513E" w:rsidRDefault="004E51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altName w:val="UniversalMath1 BT"/>
    <w:panose1 w:val="05000000000000000000"/>
    <w:charset w:val="02"/>
    <w:family w:val="auto"/>
    <w:notTrueType/>
    <w:pitch w:val="variable"/>
    <w:sig w:usb0="00000000" w:usb1="10000000" w:usb2="00000000" w:usb3="00000000" w:csb0="80000000" w:csb1="00000000"/>
  </w:font>
  <w:font w:name="Liberation Serif">
    <w:altName w:val="Times New Roman"/>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0AFF" w:usb1="00007843" w:usb2="00000001" w:usb3="00000000" w:csb0="000001B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13E" w:rsidRDefault="004E513E">
      <w:pPr>
        <w:rPr>
          <w:rFonts w:hint="eastAsia"/>
        </w:rPr>
      </w:pPr>
      <w:r>
        <w:rPr>
          <w:color w:val="000000"/>
        </w:rPr>
        <w:separator/>
      </w:r>
    </w:p>
  </w:footnote>
  <w:footnote w:type="continuationSeparator" w:id="0">
    <w:p w:rsidR="004E513E" w:rsidRDefault="004E513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DFKai-SB" w:eastAsia="DFKai-SB" w:hAnsi="DFKai-SB"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DFKai-SB" w:eastAsia="DFKai-SB" w:hAnsi="DFKai-SB"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DFKai-SB" w:eastAsia="DFKai-SB" w:hAnsi="DFKai-SB"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232BB"/>
    <w:rsid w:val="0004232C"/>
    <w:rsid w:val="00044860"/>
    <w:rsid w:val="00051D77"/>
    <w:rsid w:val="0006131D"/>
    <w:rsid w:val="00063DDD"/>
    <w:rsid w:val="0007123C"/>
    <w:rsid w:val="00077DAA"/>
    <w:rsid w:val="000930E3"/>
    <w:rsid w:val="00097829"/>
    <w:rsid w:val="000A46F8"/>
    <w:rsid w:val="000C455B"/>
    <w:rsid w:val="000C7582"/>
    <w:rsid w:val="00112079"/>
    <w:rsid w:val="001122BD"/>
    <w:rsid w:val="00112320"/>
    <w:rsid w:val="00116D93"/>
    <w:rsid w:val="0012129D"/>
    <w:rsid w:val="001274B0"/>
    <w:rsid w:val="00133127"/>
    <w:rsid w:val="00140F1E"/>
    <w:rsid w:val="00160C4F"/>
    <w:rsid w:val="0016408E"/>
    <w:rsid w:val="00182A71"/>
    <w:rsid w:val="001A63BD"/>
    <w:rsid w:val="001B3EEB"/>
    <w:rsid w:val="001B57EC"/>
    <w:rsid w:val="001C3FF9"/>
    <w:rsid w:val="001E61BA"/>
    <w:rsid w:val="001F36A9"/>
    <w:rsid w:val="001F789E"/>
    <w:rsid w:val="00206EA5"/>
    <w:rsid w:val="002240F9"/>
    <w:rsid w:val="0023656E"/>
    <w:rsid w:val="00257AB5"/>
    <w:rsid w:val="002862AD"/>
    <w:rsid w:val="003015EB"/>
    <w:rsid w:val="00306796"/>
    <w:rsid w:val="00316703"/>
    <w:rsid w:val="00326169"/>
    <w:rsid w:val="00362F78"/>
    <w:rsid w:val="00362FB3"/>
    <w:rsid w:val="0037491B"/>
    <w:rsid w:val="00390F36"/>
    <w:rsid w:val="003A0455"/>
    <w:rsid w:val="003B1758"/>
    <w:rsid w:val="003D2A6F"/>
    <w:rsid w:val="003D771D"/>
    <w:rsid w:val="0041270A"/>
    <w:rsid w:val="00434CAD"/>
    <w:rsid w:val="004436CE"/>
    <w:rsid w:val="00445BB0"/>
    <w:rsid w:val="00484268"/>
    <w:rsid w:val="004A1B96"/>
    <w:rsid w:val="004B5E2F"/>
    <w:rsid w:val="004D47E8"/>
    <w:rsid w:val="004E513E"/>
    <w:rsid w:val="004F09C6"/>
    <w:rsid w:val="00504AEB"/>
    <w:rsid w:val="00546FA2"/>
    <w:rsid w:val="00551B9F"/>
    <w:rsid w:val="00560789"/>
    <w:rsid w:val="005951CA"/>
    <w:rsid w:val="005A7F50"/>
    <w:rsid w:val="005B76BB"/>
    <w:rsid w:val="005C24F8"/>
    <w:rsid w:val="005D61BD"/>
    <w:rsid w:val="005E0CF5"/>
    <w:rsid w:val="005E537B"/>
    <w:rsid w:val="00601902"/>
    <w:rsid w:val="00623838"/>
    <w:rsid w:val="00633FE2"/>
    <w:rsid w:val="00645B27"/>
    <w:rsid w:val="00646564"/>
    <w:rsid w:val="006547FA"/>
    <w:rsid w:val="00654C9C"/>
    <w:rsid w:val="006704BA"/>
    <w:rsid w:val="00674044"/>
    <w:rsid w:val="00674A44"/>
    <w:rsid w:val="006A43F1"/>
    <w:rsid w:val="006A58EA"/>
    <w:rsid w:val="006A6A5E"/>
    <w:rsid w:val="006C2D6B"/>
    <w:rsid w:val="006D2F14"/>
    <w:rsid w:val="006E0EF2"/>
    <w:rsid w:val="006F0E87"/>
    <w:rsid w:val="006F5802"/>
    <w:rsid w:val="006F76B3"/>
    <w:rsid w:val="00734886"/>
    <w:rsid w:val="007432C9"/>
    <w:rsid w:val="007502F5"/>
    <w:rsid w:val="00781973"/>
    <w:rsid w:val="00791974"/>
    <w:rsid w:val="007C6DBC"/>
    <w:rsid w:val="007E2FF0"/>
    <w:rsid w:val="007E3A84"/>
    <w:rsid w:val="0082067C"/>
    <w:rsid w:val="008546EC"/>
    <w:rsid w:val="0087661B"/>
    <w:rsid w:val="00894F43"/>
    <w:rsid w:val="008A7E95"/>
    <w:rsid w:val="008C147E"/>
    <w:rsid w:val="008C4D9F"/>
    <w:rsid w:val="008C681D"/>
    <w:rsid w:val="00913D9D"/>
    <w:rsid w:val="009140FC"/>
    <w:rsid w:val="00917D1E"/>
    <w:rsid w:val="009855E7"/>
    <w:rsid w:val="009901AE"/>
    <w:rsid w:val="009D0EBA"/>
    <w:rsid w:val="009E3F04"/>
    <w:rsid w:val="009E7562"/>
    <w:rsid w:val="00A06E81"/>
    <w:rsid w:val="00A21C20"/>
    <w:rsid w:val="00A24F69"/>
    <w:rsid w:val="00A25A02"/>
    <w:rsid w:val="00A46194"/>
    <w:rsid w:val="00A46D40"/>
    <w:rsid w:val="00A5524C"/>
    <w:rsid w:val="00A71745"/>
    <w:rsid w:val="00A87D18"/>
    <w:rsid w:val="00A90F5C"/>
    <w:rsid w:val="00A92AC9"/>
    <w:rsid w:val="00A93E93"/>
    <w:rsid w:val="00AB008B"/>
    <w:rsid w:val="00AC4C09"/>
    <w:rsid w:val="00B063E2"/>
    <w:rsid w:val="00B13D73"/>
    <w:rsid w:val="00B219D1"/>
    <w:rsid w:val="00B22A2A"/>
    <w:rsid w:val="00B56CA7"/>
    <w:rsid w:val="00B57F66"/>
    <w:rsid w:val="00B60D59"/>
    <w:rsid w:val="00B8635C"/>
    <w:rsid w:val="00B911CC"/>
    <w:rsid w:val="00B929ED"/>
    <w:rsid w:val="00B957A0"/>
    <w:rsid w:val="00BB064E"/>
    <w:rsid w:val="00BB606D"/>
    <w:rsid w:val="00BC09D1"/>
    <w:rsid w:val="00BE06E0"/>
    <w:rsid w:val="00BE60EC"/>
    <w:rsid w:val="00C30109"/>
    <w:rsid w:val="00C31789"/>
    <w:rsid w:val="00C428CF"/>
    <w:rsid w:val="00C75652"/>
    <w:rsid w:val="00CB1378"/>
    <w:rsid w:val="00CB1BC0"/>
    <w:rsid w:val="00CB4278"/>
    <w:rsid w:val="00CE1A5D"/>
    <w:rsid w:val="00CF1F20"/>
    <w:rsid w:val="00CF2541"/>
    <w:rsid w:val="00CF6FE4"/>
    <w:rsid w:val="00D1175F"/>
    <w:rsid w:val="00D155F3"/>
    <w:rsid w:val="00D2496B"/>
    <w:rsid w:val="00D330A5"/>
    <w:rsid w:val="00D42367"/>
    <w:rsid w:val="00D81720"/>
    <w:rsid w:val="00DA4DC2"/>
    <w:rsid w:val="00DA613D"/>
    <w:rsid w:val="00DB7F81"/>
    <w:rsid w:val="00DE024A"/>
    <w:rsid w:val="00DE22D7"/>
    <w:rsid w:val="00DE643E"/>
    <w:rsid w:val="00E031AD"/>
    <w:rsid w:val="00E15D93"/>
    <w:rsid w:val="00E26EAA"/>
    <w:rsid w:val="00E35A02"/>
    <w:rsid w:val="00E42A83"/>
    <w:rsid w:val="00E73344"/>
    <w:rsid w:val="00EE16B4"/>
    <w:rsid w:val="00EF6410"/>
    <w:rsid w:val="00F045B5"/>
    <w:rsid w:val="00F20B10"/>
    <w:rsid w:val="00F27358"/>
    <w:rsid w:val="00F40BD4"/>
    <w:rsid w:val="00F424A7"/>
    <w:rsid w:val="00F5303B"/>
    <w:rsid w:val="00FA5A43"/>
    <w:rsid w:val="00FB15C2"/>
    <w:rsid w:val="00FC1D72"/>
    <w:rsid w:val="00FC33CC"/>
    <w:rsid w:val="00FE7E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PMingLiU"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DFKai-S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Microsoft JhengHei"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DFKai-SB" w:eastAsia="DFKai-SB" w:hAnsi="DFKai-SB"/>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DFKai-SB" w:eastAsia="DFKai-SB" w:hAnsi="DFKai-SB"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DFKai-SB" w:eastAsia="DFKai-SB" w:hAnsi="DFKai-SB"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DFKai-SB" w:eastAsia="DFKai-SB" w:hAnsi="DFKai-SB"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PMingLiU"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DFKai-S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Microsoft JhengHei"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DFKai-SB" w:eastAsia="DFKai-SB" w:hAnsi="DFKai-SB"/>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DFKai-SB" w:eastAsia="DFKai-SB" w:hAnsi="DFKai-SB"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DFKai-SB" w:eastAsia="DFKai-SB" w:hAnsi="DFKai-SB"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DFKai-SB" w:eastAsia="DFKai-SB" w:hAnsi="DFKai-SB"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Ann</cp:lastModifiedBy>
  <cp:revision>3</cp:revision>
  <cp:lastPrinted>2011-11-07T18:21:00Z</cp:lastPrinted>
  <dcterms:created xsi:type="dcterms:W3CDTF">2019-06-19T09:00:00Z</dcterms:created>
  <dcterms:modified xsi:type="dcterms:W3CDTF">2019-06-19T09:14:00Z</dcterms:modified>
</cp:coreProperties>
</file>